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9CCB" w14:textId="77777777" w:rsidR="00745187" w:rsidRPr="00745187" w:rsidRDefault="00C96638" w:rsidP="00745187">
      <w:pPr>
        <w:rPr>
          <w:i/>
          <w:sz w:val="18"/>
          <w:szCs w:val="18"/>
          <w:lang w:val="en-US"/>
        </w:rPr>
      </w:pPr>
      <w:r>
        <w:rPr>
          <w:rFonts w:ascii="Vestula SemiBold" w:hAnsi="Vestula SemiBold"/>
          <w:color w:val="65C1A7"/>
          <w:szCs w:val="24"/>
          <w:lang w:val="en-US"/>
        </w:rPr>
        <w:t>Attachment</w:t>
      </w:r>
      <w:r w:rsidR="00BC3A8B" w:rsidRPr="00745187">
        <w:rPr>
          <w:rFonts w:ascii="Vestula SemiBold" w:hAnsi="Vestula SemiBold"/>
          <w:color w:val="65C1A7"/>
          <w:szCs w:val="24"/>
          <w:lang w:val="en-US"/>
        </w:rPr>
        <w:t xml:space="preserve"> 1 - Budget:</w:t>
      </w:r>
      <w:r w:rsidR="00BC3A8B" w:rsidRPr="00745187">
        <w:rPr>
          <w:rFonts w:ascii="Vestula SemiBold" w:hAnsi="Vestula SemiBold"/>
          <w:color w:val="65C1A7"/>
          <w:szCs w:val="24"/>
          <w:lang w:val="en-US"/>
        </w:rPr>
        <w:br/>
      </w:r>
      <w:r w:rsidR="00BC3A8B" w:rsidRPr="00745187">
        <w:rPr>
          <w:rFonts w:ascii="Vestula SemiBold" w:hAnsi="Vestula SemiBold"/>
          <w:color w:val="65C1A7"/>
          <w:szCs w:val="24"/>
          <w:lang w:val="en-US"/>
        </w:rPr>
        <w:br/>
      </w:r>
      <w:r w:rsidR="00745187" w:rsidRPr="00745187">
        <w:rPr>
          <w:i/>
          <w:sz w:val="18"/>
          <w:szCs w:val="18"/>
          <w:lang w:val="en-US"/>
        </w:rPr>
        <w:t xml:space="preserve">Describe per cost item all the amounts for equipment costs (software, hardware, equipment) and personnel costs (coordination, teaching hours and student assistants). </w:t>
      </w:r>
    </w:p>
    <w:p w14:paraId="5E292018" w14:textId="113A2003" w:rsidR="003438B8" w:rsidRPr="003438B8" w:rsidRDefault="00745187" w:rsidP="003438B8">
      <w:pPr>
        <w:rPr>
          <w:i/>
          <w:sz w:val="18"/>
          <w:szCs w:val="18"/>
          <w:lang w:val="en-US"/>
        </w:rPr>
      </w:pPr>
      <w:r w:rsidRPr="00745187">
        <w:rPr>
          <w:i/>
          <w:sz w:val="18"/>
          <w:szCs w:val="18"/>
          <w:lang w:val="en-US"/>
        </w:rPr>
        <w:t xml:space="preserve">Tip: </w:t>
      </w:r>
      <w:r w:rsidR="003438B8">
        <w:rPr>
          <w:i/>
          <w:sz w:val="18"/>
          <w:szCs w:val="18"/>
          <w:lang w:val="en-US"/>
        </w:rPr>
        <w:t xml:space="preserve">A </w:t>
      </w:r>
      <w:r w:rsidR="003438B8" w:rsidRPr="003438B8">
        <w:rPr>
          <w:i/>
          <w:sz w:val="18"/>
          <w:szCs w:val="18"/>
          <w:lang w:val="en-US"/>
        </w:rPr>
        <w:t>junior t</w:t>
      </w:r>
      <w:r w:rsidR="003438B8">
        <w:rPr>
          <w:i/>
          <w:sz w:val="18"/>
          <w:szCs w:val="18"/>
          <w:lang w:val="en-US"/>
        </w:rPr>
        <w:t>eacher</w:t>
      </w:r>
      <w:r w:rsidR="003438B8" w:rsidRPr="003438B8">
        <w:rPr>
          <w:i/>
          <w:sz w:val="18"/>
          <w:szCs w:val="18"/>
          <w:lang w:val="en-US"/>
        </w:rPr>
        <w:t xml:space="preserve"> costs </w:t>
      </w:r>
      <w:r w:rsidR="003438B8">
        <w:rPr>
          <w:i/>
          <w:sz w:val="18"/>
          <w:szCs w:val="18"/>
          <w:lang w:val="en-US"/>
        </w:rPr>
        <w:t>about</w:t>
      </w:r>
      <w:r w:rsidR="003438B8" w:rsidRPr="003438B8">
        <w:rPr>
          <w:i/>
          <w:sz w:val="18"/>
          <w:szCs w:val="18"/>
          <w:lang w:val="en-US"/>
        </w:rPr>
        <w:t xml:space="preserve"> €35</w:t>
      </w:r>
      <w:r w:rsidR="003438B8">
        <w:rPr>
          <w:i/>
          <w:sz w:val="18"/>
          <w:szCs w:val="18"/>
          <w:lang w:val="en-US"/>
        </w:rPr>
        <w:t xml:space="preserve"> per hour</w:t>
      </w:r>
      <w:r w:rsidR="003438B8" w:rsidRPr="003438B8">
        <w:rPr>
          <w:i/>
          <w:sz w:val="18"/>
          <w:szCs w:val="18"/>
          <w:lang w:val="en-US"/>
        </w:rPr>
        <w:t xml:space="preserve">. </w:t>
      </w:r>
    </w:p>
    <w:p w14:paraId="6AC11B9F" w14:textId="77777777" w:rsidR="003438B8" w:rsidRPr="003438B8" w:rsidRDefault="003438B8" w:rsidP="003438B8">
      <w:pPr>
        <w:rPr>
          <w:i/>
          <w:sz w:val="18"/>
          <w:szCs w:val="18"/>
          <w:lang w:val="en-US"/>
        </w:rPr>
      </w:pPr>
      <w:r w:rsidRPr="003438B8">
        <w:rPr>
          <w:i/>
          <w:sz w:val="18"/>
          <w:szCs w:val="18"/>
          <w:lang w:val="en-US"/>
        </w:rPr>
        <w:t xml:space="preserve">Different rates apply to student assistants; it depends on the total number of hours a student assistant will work. </w:t>
      </w:r>
    </w:p>
    <w:p w14:paraId="0D4D99FA" w14:textId="7F62B68E" w:rsidR="003438B8" w:rsidRPr="003438B8" w:rsidRDefault="003438B8" w:rsidP="003438B8">
      <w:pPr>
        <w:pStyle w:val="ListParagraph"/>
        <w:numPr>
          <w:ilvl w:val="0"/>
          <w:numId w:val="2"/>
        </w:numPr>
        <w:rPr>
          <w:i/>
          <w:sz w:val="18"/>
          <w:szCs w:val="18"/>
          <w:lang w:val="en-US"/>
        </w:rPr>
      </w:pPr>
      <w:r w:rsidRPr="003438B8">
        <w:rPr>
          <w:i/>
          <w:sz w:val="18"/>
          <w:szCs w:val="18"/>
          <w:lang w:val="en-US"/>
        </w:rPr>
        <w:t xml:space="preserve">Will the student assistant work less than 250 hours in total? Then the contract will be arranged by </w:t>
      </w:r>
      <w:proofErr w:type="spellStart"/>
      <w:r w:rsidRPr="003438B8">
        <w:rPr>
          <w:i/>
          <w:sz w:val="18"/>
          <w:szCs w:val="18"/>
          <w:lang w:val="en-US"/>
        </w:rPr>
        <w:t>Jobmotion</w:t>
      </w:r>
      <w:proofErr w:type="spellEnd"/>
      <w:r w:rsidRPr="003438B8">
        <w:rPr>
          <w:i/>
          <w:sz w:val="18"/>
          <w:szCs w:val="18"/>
          <w:lang w:val="en-US"/>
        </w:rPr>
        <w:t xml:space="preserve">. </w:t>
      </w:r>
    </w:p>
    <w:p w14:paraId="7518BEEB" w14:textId="14376332" w:rsidR="003438B8" w:rsidRPr="003438B8" w:rsidRDefault="003438B8" w:rsidP="003438B8">
      <w:pPr>
        <w:pStyle w:val="ListParagraph"/>
        <w:numPr>
          <w:ilvl w:val="0"/>
          <w:numId w:val="2"/>
        </w:numPr>
        <w:rPr>
          <w:i/>
          <w:sz w:val="18"/>
          <w:szCs w:val="18"/>
          <w:lang w:val="en-US"/>
        </w:rPr>
      </w:pPr>
      <w:r w:rsidRPr="003438B8">
        <w:rPr>
          <w:i/>
          <w:sz w:val="18"/>
          <w:szCs w:val="18"/>
          <w:lang w:val="en-US"/>
        </w:rPr>
        <w:t xml:space="preserve">Will the student assistant work a total of more than 250 hours? The appointment will be arranged by Leiden University. </w:t>
      </w:r>
    </w:p>
    <w:p w14:paraId="516138ED" w14:textId="77777777" w:rsidR="003438B8" w:rsidRPr="003438B8" w:rsidRDefault="003438B8" w:rsidP="003438B8">
      <w:pPr>
        <w:rPr>
          <w:i/>
          <w:sz w:val="18"/>
          <w:szCs w:val="18"/>
          <w:lang w:val="en-US"/>
        </w:rPr>
      </w:pPr>
      <w:r w:rsidRPr="003438B8">
        <w:rPr>
          <w:i/>
          <w:sz w:val="18"/>
          <w:szCs w:val="18"/>
          <w:lang w:val="en-US"/>
        </w:rPr>
        <w:t xml:space="preserve">Please note: when the student is employed by </w:t>
      </w:r>
      <w:proofErr w:type="spellStart"/>
      <w:r w:rsidRPr="003438B8">
        <w:rPr>
          <w:i/>
          <w:sz w:val="18"/>
          <w:szCs w:val="18"/>
          <w:lang w:val="en-US"/>
        </w:rPr>
        <w:t>Jobmotion</w:t>
      </w:r>
      <w:proofErr w:type="spellEnd"/>
      <w:r w:rsidRPr="003438B8">
        <w:rPr>
          <w:i/>
          <w:sz w:val="18"/>
          <w:szCs w:val="18"/>
          <w:lang w:val="en-US"/>
        </w:rPr>
        <w:t xml:space="preserve">, the rates are higher. See the table below. Take this into account in the budget calculation. </w:t>
      </w:r>
    </w:p>
    <w:p w14:paraId="19D1CA2C" w14:textId="77777777" w:rsidR="003438B8" w:rsidRPr="003438B8" w:rsidRDefault="003438B8" w:rsidP="003438B8">
      <w:pPr>
        <w:rPr>
          <w:i/>
          <w:sz w:val="18"/>
          <w:szCs w:val="18"/>
          <w:lang w:val="en-US"/>
        </w:rPr>
      </w:pPr>
      <w:r w:rsidRPr="003438B8">
        <w:rPr>
          <w:i/>
          <w:sz w:val="18"/>
          <w:szCs w:val="18"/>
          <w:lang w:val="en-US"/>
        </w:rPr>
        <w:t>TIP: Is the number of hours of the student assistant just under 250 hours? Then it will be worthwhile to increase the number of hours a little, in order to exceed 250 hours. This will be more cost-effective.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2635"/>
        <w:gridCol w:w="3118"/>
      </w:tblGrid>
      <w:tr w:rsidR="003438B8" w:rsidRPr="003438B8" w14:paraId="3D305D0A" w14:textId="77777777" w:rsidTr="00C14ED6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F8AE" w14:textId="7FE7C7B7" w:rsidR="003438B8" w:rsidRPr="00C14ED6" w:rsidRDefault="003438B8" w:rsidP="00866CFE">
            <w:pPr>
              <w:spacing w:before="240"/>
              <w:rPr>
                <w:i/>
                <w:iCs/>
                <w:sz w:val="18"/>
                <w:szCs w:val="18"/>
                <w:lang w:val="en-US"/>
              </w:rPr>
            </w:pPr>
            <w:r w:rsidRPr="00C14ED6">
              <w:rPr>
                <w:i/>
                <w:iCs/>
                <w:sz w:val="18"/>
                <w:szCs w:val="18"/>
                <w:lang w:val="en-US"/>
              </w:rPr>
              <w:t>Gross hourly wage including employers’ costs</w:t>
            </w:r>
          </w:p>
        </w:tc>
        <w:tc>
          <w:tcPr>
            <w:tcW w:w="2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116A" w14:textId="3C17A870" w:rsidR="003438B8" w:rsidRPr="003438B8" w:rsidRDefault="003438B8" w:rsidP="00866CFE">
            <w:pPr>
              <w:spacing w:before="240"/>
              <w:rPr>
                <w:i/>
                <w:iCs/>
                <w:sz w:val="18"/>
                <w:szCs w:val="18"/>
              </w:rPr>
            </w:pPr>
            <w:r w:rsidRPr="003438B8">
              <w:rPr>
                <w:i/>
                <w:iCs/>
                <w:sz w:val="18"/>
                <w:szCs w:val="18"/>
                <w:lang w:val="it-IT"/>
              </w:rPr>
              <w:t xml:space="preserve">Via </w:t>
            </w:r>
            <w:proofErr w:type="spellStart"/>
            <w:r w:rsidRPr="003438B8">
              <w:rPr>
                <w:i/>
                <w:iCs/>
                <w:sz w:val="18"/>
                <w:szCs w:val="18"/>
                <w:lang w:val="it-IT"/>
              </w:rPr>
              <w:t>Jobmotion</w:t>
            </w:r>
            <w:proofErr w:type="spellEnd"/>
            <w:r w:rsidRPr="003438B8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3438B8">
              <w:rPr>
                <w:i/>
                <w:iCs/>
                <w:sz w:val="18"/>
                <w:szCs w:val="18"/>
                <w:lang w:val="it-IT"/>
              </w:rPr>
              <w:br/>
            </w:r>
            <w:r w:rsidRPr="003438B8">
              <w:rPr>
                <w:rFonts w:asciiTheme="majorHAnsi" w:hAnsiTheme="majorHAnsi"/>
                <w:i/>
                <w:iCs/>
                <w:sz w:val="18"/>
                <w:szCs w:val="18"/>
                <w:lang w:val="it-IT"/>
              </w:rPr>
              <w:t xml:space="preserve">&lt;250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  <w:lang w:val="it-IT"/>
              </w:rPr>
              <w:t>hours</w:t>
            </w:r>
            <w:r w:rsidRPr="003438B8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E00E" w14:textId="441BBB45" w:rsidR="003438B8" w:rsidRPr="003438B8" w:rsidRDefault="003438B8" w:rsidP="00866CFE">
            <w:pPr>
              <w:spacing w:before="240"/>
              <w:rPr>
                <w:i/>
                <w:iCs/>
                <w:sz w:val="18"/>
                <w:szCs w:val="18"/>
              </w:rPr>
            </w:pPr>
            <w:r w:rsidRPr="003438B8">
              <w:rPr>
                <w:i/>
                <w:iCs/>
                <w:sz w:val="18"/>
                <w:szCs w:val="18"/>
                <w:lang w:val="it-IT"/>
              </w:rPr>
              <w:t>Via UL</w:t>
            </w:r>
            <w:r w:rsidRPr="003438B8">
              <w:rPr>
                <w:i/>
                <w:iCs/>
                <w:sz w:val="18"/>
                <w:szCs w:val="18"/>
                <w:lang w:val="it-IT"/>
              </w:rPr>
              <w:br/>
            </w:r>
            <w:r w:rsidRPr="003438B8">
              <w:rPr>
                <w:rFonts w:asciiTheme="majorHAnsi" w:hAnsiTheme="majorHAnsi"/>
                <w:i/>
                <w:iCs/>
                <w:sz w:val="18"/>
                <w:szCs w:val="18"/>
                <w:lang w:val="it-IT"/>
              </w:rPr>
              <w:t xml:space="preserve">&gt;250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  <w:lang w:val="it-IT"/>
              </w:rPr>
              <w:t>hours</w:t>
            </w:r>
          </w:p>
        </w:tc>
      </w:tr>
      <w:tr w:rsidR="003438B8" w:rsidRPr="003438B8" w14:paraId="1116F001" w14:textId="77777777" w:rsidTr="00C14ED6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2E51" w14:textId="77777777" w:rsidR="003438B8" w:rsidRPr="003438B8" w:rsidRDefault="003438B8" w:rsidP="00866CFE">
            <w:pPr>
              <w:spacing w:before="240"/>
              <w:rPr>
                <w:i/>
                <w:iCs/>
                <w:sz w:val="18"/>
                <w:szCs w:val="18"/>
              </w:rPr>
            </w:pPr>
            <w:proofErr w:type="spellStart"/>
            <w:r w:rsidRPr="003438B8">
              <w:rPr>
                <w:i/>
                <w:iCs/>
                <w:sz w:val="18"/>
                <w:szCs w:val="18"/>
                <w:lang w:val="it-IT"/>
              </w:rPr>
              <w:t>Studentassistent</w:t>
            </w:r>
            <w:proofErr w:type="spellEnd"/>
          </w:p>
        </w:tc>
        <w:tc>
          <w:tcPr>
            <w:tcW w:w="2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282F" w14:textId="4C51228F" w:rsidR="00C14ED6" w:rsidRDefault="00C14ED6" w:rsidP="00C14ED6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€ 30, 00    </w:t>
            </w:r>
            <w:r>
              <w:rPr>
                <w:sz w:val="18"/>
                <w:szCs w:val="18"/>
              </w:rPr>
              <w:t>(BA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student)</w:t>
            </w:r>
          </w:p>
          <w:p w14:paraId="34F37932" w14:textId="3AFF8AB0" w:rsidR="003438B8" w:rsidRPr="00C14ED6" w:rsidRDefault="00C14ED6" w:rsidP="00866CFE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€ 3</w:t>
            </w:r>
            <w:r>
              <w:rPr>
                <w:sz w:val="18"/>
                <w:szCs w:val="18"/>
              </w:rPr>
              <w:t>3</w:t>
            </w:r>
            <w:r w:rsidRPr="00211C04">
              <w:rPr>
                <w:sz w:val="18"/>
                <w:szCs w:val="18"/>
              </w:rPr>
              <w:t>, 00    </w:t>
            </w:r>
            <w:r>
              <w:rPr>
                <w:sz w:val="18"/>
                <w:szCs w:val="18"/>
              </w:rPr>
              <w:t>(MA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DB70" w14:textId="2FDF067A" w:rsidR="00C14ED6" w:rsidRDefault="00C14ED6" w:rsidP="00C14ED6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</w:t>
            </w:r>
            <w:r w:rsidRPr="00211C04">
              <w:rPr>
                <w:sz w:val="18"/>
                <w:szCs w:val="18"/>
                <w:lang w:val="it-IT"/>
              </w:rPr>
              <w:t>2</w:t>
            </w:r>
            <w:r>
              <w:rPr>
                <w:sz w:val="18"/>
                <w:szCs w:val="18"/>
                <w:lang w:val="it-IT"/>
              </w:rPr>
              <w:t>5</w:t>
            </w:r>
            <w:r w:rsidRPr="00211C04">
              <w:rPr>
                <w:sz w:val="18"/>
                <w:szCs w:val="18"/>
                <w:lang w:val="it-IT"/>
              </w:rPr>
              <w:t>,</w:t>
            </w:r>
            <w:r>
              <w:rPr>
                <w:sz w:val="18"/>
                <w:szCs w:val="18"/>
                <w:lang w:val="it-IT"/>
              </w:rPr>
              <w:t xml:space="preserve">50 </w:t>
            </w:r>
            <w:r>
              <w:rPr>
                <w:sz w:val="18"/>
                <w:szCs w:val="18"/>
              </w:rPr>
              <w:t>(BA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student)</w:t>
            </w:r>
          </w:p>
          <w:p w14:paraId="7B7D4D99" w14:textId="3B2C6110" w:rsidR="003438B8" w:rsidRPr="00C14ED6" w:rsidRDefault="00C14ED6" w:rsidP="00866CFE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>28</w:t>
            </w:r>
            <w:r w:rsidRPr="00211C04">
              <w:rPr>
                <w:sz w:val="18"/>
                <w:szCs w:val="18"/>
              </w:rPr>
              <w:t>, 00    </w:t>
            </w:r>
            <w:r>
              <w:rPr>
                <w:sz w:val="18"/>
                <w:szCs w:val="18"/>
              </w:rPr>
              <w:t>(MA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t)</w:t>
            </w:r>
          </w:p>
        </w:tc>
      </w:tr>
    </w:tbl>
    <w:p w14:paraId="08DAFE8C" w14:textId="77777777" w:rsidR="003438B8" w:rsidRPr="00745187" w:rsidRDefault="003438B8" w:rsidP="003438B8">
      <w:pPr>
        <w:rPr>
          <w:rFonts w:ascii="Vestula SemiBold" w:hAnsi="Vestula SemiBold"/>
          <w:color w:val="65C1A7"/>
          <w:szCs w:val="24"/>
          <w:lang w:val="en-US"/>
        </w:rPr>
      </w:pPr>
    </w:p>
    <w:tbl>
      <w:tblPr>
        <w:tblW w:w="13504" w:type="dxa"/>
        <w:tblInd w:w="114" w:type="dxa"/>
        <w:tblBorders>
          <w:top w:val="dashSmallGap" w:sz="4" w:space="0" w:color="65C1A7"/>
          <w:left w:val="dashSmallGap" w:sz="4" w:space="0" w:color="65C1A7"/>
          <w:bottom w:val="dashSmallGap" w:sz="4" w:space="0" w:color="65C1A7"/>
          <w:right w:val="dashSmallGap" w:sz="4" w:space="0" w:color="65C1A7"/>
          <w:insideH w:val="dashSmallGap" w:sz="4" w:space="0" w:color="65C1A7"/>
          <w:insideV w:val="dashSmallGap" w:sz="4" w:space="0" w:color="65C1A7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0"/>
        <w:gridCol w:w="5249"/>
        <w:gridCol w:w="2835"/>
      </w:tblGrid>
      <w:tr w:rsidR="00BC3A8B" w:rsidRPr="00BC3A8B" w14:paraId="6B6AF5B6" w14:textId="77777777" w:rsidTr="004E0023">
        <w:trPr>
          <w:trHeight w:val="304"/>
        </w:trPr>
        <w:tc>
          <w:tcPr>
            <w:tcW w:w="5420" w:type="dxa"/>
            <w:tcBorders>
              <w:top w:val="dashSmallGap" w:sz="4" w:space="0" w:color="65C1A7"/>
              <w:left w:val="dashSmallGap" w:sz="4" w:space="0" w:color="65C1A7"/>
              <w:bottom w:val="dashSmallGap" w:sz="4" w:space="0" w:color="65C1A7"/>
              <w:right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D6EE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  <w:lang w:val="en-US"/>
              </w:rPr>
            </w:pPr>
            <w:r w:rsidRPr="00BC3A8B">
              <w:rPr>
                <w:rFonts w:cs="Gentium"/>
                <w:b/>
                <w:color w:val="65C1A7"/>
                <w:lang w:val="en-US"/>
              </w:rPr>
              <w:t>Staff costs</w:t>
            </w:r>
            <w:r w:rsidR="004E0023">
              <w:rPr>
                <w:rFonts w:cs="Gentium"/>
                <w:b/>
                <w:color w:val="65C1A7"/>
                <w:lang w:val="en-US"/>
              </w:rPr>
              <w:br/>
            </w:r>
          </w:p>
        </w:tc>
        <w:tc>
          <w:tcPr>
            <w:tcW w:w="5249" w:type="dxa"/>
            <w:tcBorders>
              <w:top w:val="dashSmallGap" w:sz="4" w:space="0" w:color="65C1A7"/>
              <w:left w:val="dashSmallGap" w:sz="4" w:space="0" w:color="65C1A7"/>
              <w:bottom w:val="dashSmallGap" w:sz="4" w:space="0" w:color="65C1A7"/>
              <w:right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16EA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  <w:lang w:val="en-US"/>
              </w:rPr>
            </w:pPr>
            <w:r w:rsidRPr="00BC3A8B">
              <w:rPr>
                <w:rFonts w:cs="Gentium"/>
                <w:b/>
                <w:color w:val="65C1A7"/>
                <w:lang w:val="en-US"/>
              </w:rPr>
              <w:t>Calculation</w:t>
            </w:r>
          </w:p>
        </w:tc>
        <w:tc>
          <w:tcPr>
            <w:tcW w:w="2835" w:type="dxa"/>
            <w:tcBorders>
              <w:top w:val="dashSmallGap" w:sz="4" w:space="0" w:color="65C1A7"/>
              <w:left w:val="dashSmallGap" w:sz="4" w:space="0" w:color="65C1A7"/>
              <w:bottom w:val="dashSmallGap" w:sz="4" w:space="0" w:color="65C1A7"/>
              <w:right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0086" w14:textId="77777777" w:rsidR="00BC3A8B" w:rsidRPr="00BC3A8B" w:rsidRDefault="00BC3A8B" w:rsidP="00BC3A8B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  <w:lang w:val="en-US"/>
              </w:rPr>
            </w:pPr>
            <w:r w:rsidRPr="00BC3A8B">
              <w:rPr>
                <w:rFonts w:cs="Gentium"/>
                <w:b/>
                <w:color w:val="65C1A7"/>
                <w:lang w:val="en-US"/>
              </w:rPr>
              <w:t>Euro</w:t>
            </w:r>
          </w:p>
        </w:tc>
      </w:tr>
      <w:tr w:rsidR="00BC3A8B" w:rsidRPr="00F05C92" w14:paraId="283BDCD6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8FCB" w14:textId="77777777" w:rsidR="00BC3A8B" w:rsidRPr="008D7F2C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1632" w14:textId="77777777" w:rsidR="00BC3A8B" w:rsidRPr="008D7F2C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3F86" w14:textId="77777777" w:rsidR="00BC3A8B" w:rsidRPr="008D7F2C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F05C92" w14:paraId="61D8A5C6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C776" w14:textId="77777777" w:rsidR="00BC3A8B" w:rsidRPr="008D7F2C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E23D" w14:textId="77777777" w:rsidR="00BC3A8B" w:rsidRPr="008D7F2C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3F57" w14:textId="77777777" w:rsidR="00BC3A8B" w:rsidRPr="008D7F2C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F05C92" w14:paraId="0F8CAC29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8D79" w14:textId="77777777" w:rsidR="00BC3A8B" w:rsidRPr="008D7F2C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3985" w14:textId="77777777" w:rsidR="00BC3A8B" w:rsidRPr="008D7F2C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5FA2" w14:textId="77777777" w:rsidR="00BC3A8B" w:rsidRPr="008D7F2C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BC3A8B" w14:paraId="3BA139E6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605C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  <w:lang w:val="en-US"/>
              </w:rPr>
            </w:pPr>
            <w:r w:rsidRPr="00BC3A8B">
              <w:rPr>
                <w:rFonts w:cs="Gentium"/>
                <w:b/>
                <w:color w:val="65C1A7"/>
                <w:lang w:val="en-US"/>
              </w:rPr>
              <w:t>Material costs</w:t>
            </w:r>
            <w:r w:rsidR="004E0023">
              <w:rPr>
                <w:rFonts w:cs="Gentium"/>
                <w:b/>
                <w:color w:val="65C1A7"/>
                <w:lang w:val="en-US"/>
              </w:rPr>
              <w:br/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7D7E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1CF9" w14:textId="77777777" w:rsidR="00BC3A8B" w:rsidRPr="00BC3A8B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  <w:lang w:val="en-US"/>
              </w:rPr>
            </w:pPr>
          </w:p>
        </w:tc>
      </w:tr>
      <w:tr w:rsidR="00BC3A8B" w:rsidRPr="00BC3A8B" w14:paraId="78257DE4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044C" w14:textId="77777777" w:rsidR="00BC3A8B" w:rsidRPr="00BC3A8B" w:rsidRDefault="00BC3A8B" w:rsidP="00C405F1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A5FC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8E3C" w14:textId="77777777" w:rsidR="00BC3A8B" w:rsidRPr="00BC3A8B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  <w:lang w:val="en-US"/>
              </w:rPr>
            </w:pPr>
          </w:p>
        </w:tc>
      </w:tr>
      <w:tr w:rsidR="00BC3A8B" w:rsidRPr="00BC3A8B" w14:paraId="207C5EBD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9BD2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BB34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93A8" w14:textId="77777777" w:rsidR="00BC3A8B" w:rsidRPr="00BC3A8B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  <w:lang w:val="en-US"/>
              </w:rPr>
            </w:pPr>
          </w:p>
        </w:tc>
      </w:tr>
      <w:tr w:rsidR="00BC3A8B" w:rsidRPr="00BC3A8B" w14:paraId="0E94CA39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2FCE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E60E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5000" w14:textId="77777777" w:rsidR="00BC3A8B" w:rsidRPr="00BC3A8B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  <w:lang w:val="en-US"/>
              </w:rPr>
            </w:pPr>
          </w:p>
        </w:tc>
      </w:tr>
      <w:tr w:rsidR="00BC3A8B" w:rsidRPr="00BC3A8B" w14:paraId="3301B0DD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746B" w14:textId="7E522012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b/>
                <w:lang w:val="en-US"/>
              </w:rPr>
            </w:pPr>
            <w:r w:rsidRPr="00BC3A8B">
              <w:rPr>
                <w:rFonts w:cs="Gentium"/>
                <w:b/>
                <w:color w:val="65C1A7"/>
                <w:lang w:val="en-US"/>
              </w:rPr>
              <w:t>TOTAL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1D44" w14:textId="77777777" w:rsidR="00BC3A8B" w:rsidRPr="00BC3A8B" w:rsidRDefault="00BC3A8B" w:rsidP="00C91F86">
            <w:pPr>
              <w:pStyle w:val="Standard"/>
              <w:spacing w:after="0" w:line="240" w:lineRule="auto"/>
              <w:rPr>
                <w:rFonts w:cs="Gentium"/>
                <w:lang w:val="en-US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7EDD" w14:textId="77777777" w:rsidR="00BC3A8B" w:rsidRPr="00BC3A8B" w:rsidRDefault="00BC3A8B" w:rsidP="00C405F1">
            <w:pPr>
              <w:pStyle w:val="Standard"/>
              <w:spacing w:after="0" w:line="240" w:lineRule="auto"/>
              <w:jc w:val="right"/>
              <w:rPr>
                <w:rFonts w:cs="Gentium"/>
                <w:lang w:val="en-US"/>
              </w:rPr>
            </w:pPr>
          </w:p>
        </w:tc>
      </w:tr>
    </w:tbl>
    <w:p w14:paraId="62EADA30" w14:textId="77777777" w:rsidR="004D64E5" w:rsidRDefault="004D64E5"/>
    <w:sectPr w:rsidR="004D64E5" w:rsidSect="009C1B93">
      <w:pgSz w:w="16838" w:h="11906" w:orient="landscape"/>
      <w:pgMar w:top="1417" w:right="167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19E0" w14:textId="77777777" w:rsidR="00584B6D" w:rsidRDefault="00584B6D" w:rsidP="00C405F1">
      <w:pPr>
        <w:spacing w:after="0" w:line="240" w:lineRule="auto"/>
      </w:pPr>
      <w:r>
        <w:separator/>
      </w:r>
    </w:p>
  </w:endnote>
  <w:endnote w:type="continuationSeparator" w:id="0">
    <w:p w14:paraId="09A8ADA9" w14:textId="77777777" w:rsidR="00584B6D" w:rsidRDefault="00584B6D" w:rsidP="00C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stula">
    <w:panose1 w:val="020B05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stula SemiBold">
    <w:altName w:val="Calibri"/>
    <w:panose1 w:val="020B06030303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8F3B" w14:textId="77777777" w:rsidR="00584B6D" w:rsidRDefault="00584B6D" w:rsidP="00C405F1">
      <w:pPr>
        <w:spacing w:after="0" w:line="240" w:lineRule="auto"/>
      </w:pPr>
      <w:r>
        <w:separator/>
      </w:r>
    </w:p>
  </w:footnote>
  <w:footnote w:type="continuationSeparator" w:id="0">
    <w:p w14:paraId="781FA91B" w14:textId="77777777" w:rsidR="00584B6D" w:rsidRDefault="00584B6D" w:rsidP="00C4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B43"/>
    <w:multiLevelType w:val="hybridMultilevel"/>
    <w:tmpl w:val="6E38CC5E"/>
    <w:lvl w:ilvl="0" w:tplc="43CAFFC2">
      <w:numFmt w:val="bullet"/>
      <w:lvlText w:val="-"/>
      <w:lvlJc w:val="left"/>
      <w:pPr>
        <w:ind w:left="720" w:hanging="360"/>
      </w:pPr>
      <w:rPr>
        <w:rFonts w:ascii="Vestula" w:eastAsiaTheme="minorHAnsi" w:hAnsi="Vestu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2714"/>
    <w:multiLevelType w:val="hybridMultilevel"/>
    <w:tmpl w:val="D3A0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35114">
    <w:abstractNumId w:val="1"/>
  </w:num>
  <w:num w:numId="2" w16cid:durableId="58118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8B"/>
    <w:rsid w:val="002631DB"/>
    <w:rsid w:val="002D52DD"/>
    <w:rsid w:val="002D7E18"/>
    <w:rsid w:val="003438B8"/>
    <w:rsid w:val="004D64E5"/>
    <w:rsid w:val="004E0023"/>
    <w:rsid w:val="004F4F8C"/>
    <w:rsid w:val="00584B6D"/>
    <w:rsid w:val="0063643D"/>
    <w:rsid w:val="006D6533"/>
    <w:rsid w:val="00701DFB"/>
    <w:rsid w:val="00745187"/>
    <w:rsid w:val="008D7F2C"/>
    <w:rsid w:val="009243BF"/>
    <w:rsid w:val="009C1B93"/>
    <w:rsid w:val="00A53940"/>
    <w:rsid w:val="00B807A8"/>
    <w:rsid w:val="00BC3A8B"/>
    <w:rsid w:val="00C14ED6"/>
    <w:rsid w:val="00C31FAE"/>
    <w:rsid w:val="00C405F1"/>
    <w:rsid w:val="00C5204B"/>
    <w:rsid w:val="00C96638"/>
    <w:rsid w:val="00CA2D46"/>
    <w:rsid w:val="00F05C92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B2AF7"/>
  <w15:docId w15:val="{2C921085-5B10-474F-998D-37894A20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8B"/>
  </w:style>
  <w:style w:type="paragraph" w:styleId="Heading1">
    <w:name w:val="heading 1"/>
    <w:basedOn w:val="Normal"/>
    <w:next w:val="Normal"/>
    <w:link w:val="Heading1Char"/>
    <w:uiPriority w:val="9"/>
    <w:qFormat/>
    <w:rsid w:val="002D7E18"/>
    <w:pPr>
      <w:keepNext/>
      <w:keepLines/>
      <w:spacing w:before="240" w:after="0"/>
      <w:outlineLvl w:val="0"/>
    </w:pPr>
    <w:rPr>
      <w:rFonts w:ascii="Vestula SemiBold" w:eastAsiaTheme="majorEastAsia" w:hAnsi="Vestula SemiBold" w:cstheme="majorBidi"/>
      <w:color w:val="76923C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E18"/>
    <w:pPr>
      <w:keepNext/>
      <w:keepLines/>
      <w:spacing w:before="40" w:after="0"/>
      <w:outlineLvl w:val="1"/>
    </w:pPr>
    <w:rPr>
      <w:rFonts w:ascii="Vestula SemiBold" w:eastAsiaTheme="majorEastAsia" w:hAnsi="Vestula SemiBold" w:cstheme="majorBidi"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E18"/>
    <w:pPr>
      <w:keepNext/>
      <w:keepLines/>
      <w:spacing w:before="40" w:after="0"/>
      <w:outlineLvl w:val="2"/>
    </w:pPr>
    <w:rPr>
      <w:rFonts w:ascii="Vestula SemiBold" w:eastAsiaTheme="majorEastAsia" w:hAnsi="Vestula SemiBold" w:cstheme="majorBid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E1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Heading4"/>
    <w:link w:val="ULChar"/>
    <w:qFormat/>
    <w:rsid w:val="002D7E18"/>
    <w:rPr>
      <w:rFonts w:eastAsia="Times New Roman"/>
      <w:lang w:eastAsia="nl-NL"/>
    </w:rPr>
  </w:style>
  <w:style w:type="character" w:customStyle="1" w:styleId="ULChar">
    <w:name w:val="UL Char"/>
    <w:basedOn w:val="Heading4Char"/>
    <w:link w:val="UL"/>
    <w:rsid w:val="002D7E18"/>
    <w:rPr>
      <w:rFonts w:ascii="Vestula" w:eastAsia="Times New Roman" w:hAnsi="Vestula" w:cstheme="majorBidi"/>
      <w:i/>
      <w:iCs/>
      <w:color w:val="002060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D7E18"/>
    <w:rPr>
      <w:rFonts w:ascii="Vestula" w:eastAsiaTheme="majorEastAsia" w:hAnsi="Vestula" w:cstheme="majorBidi"/>
      <w:i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2D7E18"/>
    <w:rPr>
      <w:rFonts w:ascii="Vestula SemiBold" w:eastAsiaTheme="majorEastAsia" w:hAnsi="Vestula SemiBold" w:cstheme="majorBidi"/>
      <w:color w:val="76923C" w:themeColor="accent3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E18"/>
    <w:rPr>
      <w:rFonts w:ascii="Vestula SemiBold" w:eastAsiaTheme="majorEastAsia" w:hAnsi="Vestula SemiBold" w:cstheme="majorBidi"/>
      <w:color w:val="76923C" w:themeColor="accent3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E18"/>
    <w:rPr>
      <w:rFonts w:ascii="Vestula SemiBold" w:eastAsiaTheme="majorEastAsia" w:hAnsi="Vestula SemiBold" w:cstheme="majorBidi"/>
      <w:color w:val="00206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7E18"/>
    <w:pPr>
      <w:spacing w:after="0" w:line="240" w:lineRule="auto"/>
      <w:contextualSpacing/>
    </w:pPr>
    <w:rPr>
      <w:rFonts w:ascii="Vestula SemiBold" w:eastAsiaTheme="majorEastAsia" w:hAnsi="Vestula SemiBold" w:cstheme="majorBidi"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E18"/>
    <w:rPr>
      <w:rFonts w:ascii="Vestula SemiBold" w:eastAsiaTheme="majorEastAsia" w:hAnsi="Vestula SemiBold" w:cstheme="majorBidi"/>
      <w:color w:val="00206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E18"/>
    <w:pPr>
      <w:numPr>
        <w:ilvl w:val="1"/>
      </w:numPr>
      <w:spacing w:after="160"/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E18"/>
    <w:rPr>
      <w:rFonts w:ascii="Minion Pro" w:eastAsiaTheme="minorEastAsia" w:hAnsi="Minion Pro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D7E18"/>
    <w:pPr>
      <w:ind w:left="720"/>
      <w:contextualSpacing/>
    </w:pPr>
  </w:style>
  <w:style w:type="paragraph" w:styleId="NoSpacing">
    <w:name w:val="No Spacing"/>
    <w:uiPriority w:val="1"/>
    <w:qFormat/>
    <w:rsid w:val="002D7E18"/>
    <w:pPr>
      <w:spacing w:after="0" w:line="240" w:lineRule="auto"/>
    </w:pPr>
    <w:rPr>
      <w:rFonts w:ascii="Vestula" w:hAnsi="Vestula"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E1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andard">
    <w:name w:val="Standard"/>
    <w:rsid w:val="00BC3A8B"/>
    <w:pPr>
      <w:suppressAutoHyphens/>
      <w:autoSpaceDN w:val="0"/>
      <w:textAlignment w:val="baseline"/>
    </w:pPr>
    <w:rPr>
      <w:rFonts w:ascii="Calibri" w:eastAsia="MS Mincho" w:hAnsi="Calibri" w:cs="Calibri"/>
      <w:kern w:val="3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F1"/>
  </w:style>
  <w:style w:type="paragraph" w:styleId="Footer">
    <w:name w:val="footer"/>
    <w:basedOn w:val="Normal"/>
    <w:link w:val="FooterChar"/>
    <w:uiPriority w:val="99"/>
    <w:unhideWhenUsed/>
    <w:rsid w:val="00C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L">
      <a:majorFont>
        <a:latin typeface="Vestula SemiBold"/>
        <a:ea typeface=""/>
        <a:cs typeface=""/>
      </a:majorFont>
      <a:minorFont>
        <a:latin typeface="Vestu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6D1C13AFB574B9E30065E736C9671" ma:contentTypeVersion="13" ma:contentTypeDescription="Create a new document." ma:contentTypeScope="" ma:versionID="d121fbb4325c02cb90fbb12b5204e18b">
  <xsd:schema xmlns:xsd="http://www.w3.org/2001/XMLSchema" xmlns:xs="http://www.w3.org/2001/XMLSchema" xmlns:p="http://schemas.microsoft.com/office/2006/metadata/properties" xmlns:ns2="4818d990-9783-4895-a0cb-7b82befe5e11" xmlns:ns3="4b303c43-c7af-4925-b792-a8e6f75f4028" targetNamespace="http://schemas.microsoft.com/office/2006/metadata/properties" ma:root="true" ma:fieldsID="514664bc8ab03151b94bd2d1c1c054e3" ns2:_="" ns3:_="">
    <xsd:import namespace="4818d990-9783-4895-a0cb-7b82befe5e11"/>
    <xsd:import namespace="4b303c43-c7af-4925-b792-a8e6f75f4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d990-9783-4895-a0cb-7b82befe5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631252e-6fa5-4b2b-9987-d0b6e83c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3c43-c7af-4925-b792-a8e6f75f4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ab7ec2-74b5-47ce-a0ca-669aa6211495}" ma:internalName="TaxCatchAll" ma:showField="CatchAllData" ma:web="4b303c43-c7af-4925-b792-a8e6f75f4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18d990-9783-4895-a0cb-7b82befe5e11">
      <Terms xmlns="http://schemas.microsoft.com/office/infopath/2007/PartnerControls"/>
    </lcf76f155ced4ddcb4097134ff3c332f>
    <TaxCatchAll xmlns="4b303c43-c7af-4925-b792-a8e6f75f4028" xsi:nil="true"/>
    <SharedWithUsers xmlns="4b303c43-c7af-4925-b792-a8e6f75f402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B1086-B7EF-44AD-BB15-4702006E7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d990-9783-4895-a0cb-7b82befe5e11"/>
    <ds:schemaRef ds:uri="4b303c43-c7af-4925-b792-a8e6f75f4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A38DC-A1EF-4C1D-B396-30F22F0A4EC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b303c43-c7af-4925-b792-a8e6f75f4028"/>
    <ds:schemaRef ds:uri="http://www.w3.org/XML/1998/namespace"/>
    <ds:schemaRef ds:uri="http://schemas.microsoft.com/office/2006/metadata/properties"/>
    <ds:schemaRef ds:uri="http://purl.org/dc/terms/"/>
    <ds:schemaRef ds:uri="4818d990-9783-4895-a0cb-7b82befe5e11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1286FD-1793-4D1D-B26C-1030FC0B7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budget application education innovation</dc:title>
  <dc:creator>Benjamins, A.</dc:creator>
  <cp:keywords>Education innovation, attachment budget, ECOLe</cp:keywords>
  <cp:lastModifiedBy>Benjamins, A. (Anna)</cp:lastModifiedBy>
  <cp:revision>2</cp:revision>
  <cp:lastPrinted>2018-04-16T07:52:00Z</cp:lastPrinted>
  <dcterms:created xsi:type="dcterms:W3CDTF">2023-06-21T12:51:00Z</dcterms:created>
  <dcterms:modified xsi:type="dcterms:W3CDTF">2023-06-21T12:51:00Z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0x0101003056D1C13AFB574B9E30065E736C9671</vt:lpwstr>
  </property>
  <property fmtid="{D5CDD505-2E9C-101B-9397-08002B2CF9AE}" pid="3" name="WorkflowChangePath">
    <vt:lpwstr>12177a65-51dd-47e4-9e47-4e9539a91d13,8;</vt:lpwstr>
  </property>
  <property fmtid="{D5CDD505-2E9C-101B-9397-08002B2CF9AE}" pid="4" name="Order">
    <vt:r8>29700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