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4EA0EF">
      <w:pPr>
        <w:rPr>
          <w:rFonts w:hint="default" w:ascii="Times New Roman" w:hAnsi="Times New Roman" w:cs="Times New Roman"/>
          <w:b/>
          <w:sz w:val="24"/>
          <w:szCs w:val="24"/>
          <w:lang w:val="en-US" w:eastAsia="zh-CN"/>
        </w:rPr>
      </w:pPr>
      <w:r>
        <w:rPr>
          <w:rFonts w:hint="default" w:ascii="Times New Roman" w:hAnsi="Times New Roman" w:cs="Times New Roman"/>
          <w:b/>
          <w:sz w:val="24"/>
          <w:szCs w:val="24"/>
          <w:lang w:val="en-US" w:eastAsia="zh-CN"/>
        </w:rPr>
        <w:t xml:space="preserve">Attachment </w:t>
      </w:r>
    </w:p>
    <w:p w14:paraId="6122BDCB">
      <w:pPr>
        <w:rPr>
          <w:rFonts w:hint="default" w:ascii="Times New Roman" w:hAnsi="Times New Roman" w:cs="Times New Roman"/>
          <w:b/>
          <w:sz w:val="24"/>
          <w:szCs w:val="24"/>
          <w:lang w:val="en-US" w:eastAsia="zh-CN"/>
        </w:rPr>
      </w:pPr>
    </w:p>
    <w:p w14:paraId="261C6062">
      <w:pPr>
        <w:jc w:val="center"/>
        <w:rPr>
          <w:rFonts w:hint="default" w:ascii="Times New Roman" w:hAnsi="Times New Roman" w:cs="Times New Roman"/>
          <w:b/>
          <w:bCs w:val="0"/>
          <w:sz w:val="24"/>
          <w:szCs w:val="24"/>
          <w:lang w:val="en-US" w:eastAsia="zh-CN"/>
        </w:rPr>
      </w:pPr>
      <w:r>
        <w:rPr>
          <w:rFonts w:hint="default" w:ascii="Times New Roman" w:hAnsi="Times New Roman" w:cs="Times New Roman"/>
          <w:b/>
          <w:bCs w:val="0"/>
          <w:sz w:val="24"/>
          <w:szCs w:val="24"/>
          <w:lang w:val="en-US" w:eastAsia="zh-CN"/>
        </w:rPr>
        <w:t>Course Description Guidelines</w:t>
      </w:r>
    </w:p>
    <w:p w14:paraId="77900050">
      <w:pPr>
        <w:rPr>
          <w:rFonts w:hint="default" w:ascii="Times New Roman" w:hAnsi="Times New Roman" w:cs="Times New Roman"/>
          <w:b w:val="0"/>
          <w:bCs/>
          <w:sz w:val="24"/>
          <w:szCs w:val="24"/>
          <w:lang w:val="en-US" w:eastAsia="zh-CN"/>
        </w:rPr>
      </w:pPr>
    </w:p>
    <w:p w14:paraId="3C35FF4E">
      <w:pPr>
        <w:numPr>
          <w:ilvl w:val="0"/>
          <w:numId w:val="1"/>
        </w:numPr>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Structure Requirements</w:t>
      </w:r>
    </w:p>
    <w:p w14:paraId="3F148515">
      <w:pPr>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The Course Description must include four sections in both Chinese and English:</w:t>
      </w:r>
    </w:p>
    <w:p w14:paraId="26C6335F">
      <w:pPr>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Profile</w:t>
      </w:r>
    </w:p>
    <w:p w14:paraId="0F5A22E2">
      <w:pPr>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Basic Information</w:t>
      </w:r>
    </w:p>
    <w:p w14:paraId="26E950EC">
      <w:pPr>
        <w:rPr>
          <w:rFonts w:hint="eastAsia" w:cs="Times New Roman"/>
          <w:b w:val="0"/>
          <w:bCs/>
          <w:sz w:val="24"/>
          <w:szCs w:val="24"/>
          <w:lang w:val="en-US" w:eastAsia="zh-CN"/>
        </w:rPr>
      </w:pPr>
      <w:r>
        <w:rPr>
          <w:rFonts w:hint="eastAsia" w:cs="Times New Roman"/>
          <w:b w:val="0"/>
          <w:bCs/>
          <w:sz w:val="24"/>
          <w:szCs w:val="24"/>
          <w:lang w:val="en-US" w:eastAsia="zh-CN"/>
        </w:rPr>
        <w:t>Learning Goals</w:t>
      </w:r>
    </w:p>
    <w:p w14:paraId="7588FD10">
      <w:pPr>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Content</w:t>
      </w:r>
    </w:p>
    <w:p w14:paraId="79D39A43">
      <w:pPr>
        <w:rPr>
          <w:rFonts w:hint="default" w:ascii="Times New Roman" w:hAnsi="Times New Roman" w:cs="Times New Roman"/>
          <w:b w:val="0"/>
          <w:bCs/>
          <w:sz w:val="24"/>
          <w:szCs w:val="24"/>
          <w:highlight w:val="yellow"/>
          <w:lang w:val="en-US" w:eastAsia="zh-CN"/>
        </w:rPr>
      </w:pPr>
      <w:r>
        <w:rPr>
          <w:rFonts w:hint="default" w:ascii="Times New Roman" w:hAnsi="Times New Roman" w:cs="Times New Roman"/>
          <w:b w:val="0"/>
          <w:bCs/>
          <w:sz w:val="24"/>
          <w:szCs w:val="24"/>
          <w:lang w:val="en-US" w:eastAsia="zh-CN"/>
        </w:rPr>
        <w:t>Note: The Chinese and English versions of each section must maintain consistent.</w:t>
      </w:r>
      <w:r>
        <w:rPr>
          <w:rFonts w:hint="eastAsia" w:cs="Times New Roman"/>
          <w:b w:val="0"/>
          <w:bCs/>
          <w:sz w:val="24"/>
          <w:szCs w:val="24"/>
          <w:lang w:val="en-US" w:eastAsia="zh-CN"/>
        </w:rPr>
        <w:t xml:space="preserve"> *</w:t>
      </w:r>
      <w:r>
        <w:rPr>
          <w:rFonts w:hint="eastAsia" w:cs="Times New Roman"/>
          <w:b/>
          <w:bCs w:val="0"/>
          <w:sz w:val="22"/>
          <w:szCs w:val="22"/>
          <w:highlight w:val="yellow"/>
          <w:lang w:val="en-US" w:eastAsia="zh-CN"/>
        </w:rPr>
        <w:t>Please only fill in the English part if you are a foreign professor.</w:t>
      </w:r>
    </w:p>
    <w:p w14:paraId="417B7AAE">
      <w:pPr>
        <w:rPr>
          <w:rFonts w:hint="default" w:ascii="Times New Roman" w:hAnsi="Times New Roman" w:cs="Times New Roman"/>
          <w:b w:val="0"/>
          <w:bCs/>
          <w:sz w:val="24"/>
          <w:szCs w:val="24"/>
          <w:lang w:val="en-US" w:eastAsia="zh-CN"/>
        </w:rPr>
      </w:pPr>
    </w:p>
    <w:p w14:paraId="4AC7B1B6">
      <w:pPr>
        <w:numPr>
          <w:ilvl w:val="0"/>
          <w:numId w:val="1"/>
        </w:numPr>
        <w:ind w:left="0" w:leftChars="0" w:firstLine="0" w:firstLineChars="0"/>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Formatting Requ</w:t>
      </w:r>
      <w:bookmarkStart w:id="5" w:name="_GoBack"/>
      <w:bookmarkEnd w:id="5"/>
      <w:r>
        <w:rPr>
          <w:rFonts w:hint="default" w:ascii="Times New Roman" w:hAnsi="Times New Roman" w:cs="Times New Roman"/>
          <w:b w:val="0"/>
          <w:bCs/>
          <w:sz w:val="24"/>
          <w:szCs w:val="24"/>
          <w:lang w:val="en-US" w:eastAsia="zh-CN"/>
        </w:rPr>
        <w:t>irements</w:t>
      </w:r>
    </w:p>
    <w:p w14:paraId="09A12E63">
      <w:pPr>
        <w:rPr>
          <w:rFonts w:hint="default" w:ascii="Times New Roman" w:hAnsi="Times New Roman" w:cs="Times New Roman"/>
          <w:b w:val="0"/>
          <w:bCs/>
          <w:sz w:val="24"/>
          <w:szCs w:val="24"/>
          <w:lang w:val="en-US" w:eastAsia="zh-CN"/>
        </w:rPr>
      </w:pPr>
    </w:p>
    <w:p w14:paraId="5FE34126">
      <w:pPr>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The entire Course Description is limited to 2 A4 pages.</w:t>
      </w:r>
    </w:p>
    <w:p w14:paraId="6DBF5C83">
      <w:pPr>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The Instructor Profile and Basic Information sections must fit within 1 page.</w:t>
      </w:r>
    </w:p>
    <w:p w14:paraId="6E07B146">
      <w:pPr>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The Course Objectives and Course Content sections must fit within 1 page.</w:t>
      </w:r>
    </w:p>
    <w:p w14:paraId="4EEC443D">
      <w:pPr>
        <w:rPr>
          <w:rFonts w:hint="default" w:ascii="Times New Roman" w:hAnsi="Times New Roman" w:cs="Times New Roman"/>
          <w:b w:val="0"/>
          <w:bCs/>
          <w:sz w:val="24"/>
          <w:szCs w:val="24"/>
          <w:lang w:val="en-US" w:eastAsia="zh-CN"/>
        </w:rPr>
      </w:pPr>
    </w:p>
    <w:p w14:paraId="79373A92">
      <w:pPr>
        <w:numPr>
          <w:ilvl w:val="0"/>
          <w:numId w:val="1"/>
        </w:numPr>
        <w:ind w:left="0" w:leftChars="0" w:firstLine="0" w:firstLineChars="0"/>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Font Specifications</w:t>
      </w:r>
    </w:p>
    <w:p w14:paraId="6A887862">
      <w:pPr>
        <w:rPr>
          <w:rFonts w:hint="default" w:ascii="Times New Roman" w:hAnsi="Times New Roman" w:cs="Times New Roman"/>
          <w:b w:val="0"/>
          <w:bCs/>
          <w:sz w:val="24"/>
          <w:szCs w:val="24"/>
          <w:lang w:val="en-US" w:eastAsia="zh-CN"/>
        </w:rPr>
      </w:pPr>
    </w:p>
    <w:p w14:paraId="766204B5">
      <w:pPr>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Chinese text: SimSun (宋体)</w:t>
      </w:r>
    </w:p>
    <w:p w14:paraId="6576F70F">
      <w:pPr>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English text: Calibri</w:t>
      </w:r>
    </w:p>
    <w:p w14:paraId="6B82A3C1">
      <w:pPr>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Main body font size: 10.5 pt (小五号)</w:t>
      </w:r>
    </w:p>
    <w:p w14:paraId="64800EC7">
      <w:pPr>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Font size in Basic Information tables: 8 pt (六号)</w:t>
      </w:r>
    </w:p>
    <w:p w14:paraId="395716F1">
      <w:pPr>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Please use the provided template directly for formatting.</w:t>
      </w:r>
    </w:p>
    <w:p w14:paraId="720ABC94">
      <w:pPr>
        <w:rPr>
          <w:rFonts w:hint="default" w:ascii="Times New Roman" w:hAnsi="Times New Roman" w:cs="Times New Roman"/>
          <w:b w:val="0"/>
          <w:bCs/>
          <w:sz w:val="24"/>
          <w:szCs w:val="24"/>
          <w:lang w:val="en-US" w:eastAsia="zh-CN"/>
        </w:rPr>
      </w:pPr>
    </w:p>
    <w:p w14:paraId="0379C6A1">
      <w:pPr>
        <w:numPr>
          <w:ilvl w:val="0"/>
          <w:numId w:val="1"/>
        </w:numPr>
        <w:ind w:left="0" w:leftChars="0" w:firstLine="0" w:firstLineChars="0"/>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Submission Requirements</w:t>
      </w:r>
    </w:p>
    <w:p w14:paraId="4250813F">
      <w:pPr>
        <w:numPr>
          <w:numId w:val="0"/>
        </w:numPr>
        <w:ind w:leftChars="0"/>
        <w:rPr>
          <w:rFonts w:hint="default" w:ascii="Times New Roman" w:hAnsi="Times New Roman" w:cs="Times New Roman"/>
          <w:b w:val="0"/>
          <w:bCs/>
          <w:sz w:val="24"/>
          <w:szCs w:val="24"/>
          <w:lang w:val="en-US" w:eastAsia="zh-CN"/>
        </w:rPr>
      </w:pPr>
    </w:p>
    <w:p w14:paraId="3FDC231A">
      <w:pPr>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File format: Microsoft Word (.docx)</w:t>
      </w:r>
    </w:p>
    <w:p w14:paraId="5D86795F">
      <w:pPr>
        <w:rPr>
          <w:rFonts w:ascii="宋体" w:hAnsi="宋体"/>
          <w:b/>
          <w:sz w:val="28"/>
          <w:szCs w:val="28"/>
        </w:rPr>
      </w:pPr>
      <w:r>
        <w:rPr>
          <w:rFonts w:hint="default" w:ascii="Times New Roman" w:hAnsi="Times New Roman" w:cs="Times New Roman"/>
          <w:b w:val="0"/>
          <w:bCs/>
          <w:sz w:val="24"/>
          <w:szCs w:val="24"/>
          <w:lang w:val="en-US" w:eastAsia="zh-CN"/>
        </w:rPr>
        <w:t>Naming convention: Name</w:t>
      </w:r>
      <w:r>
        <w:rPr>
          <w:rFonts w:hint="eastAsia" w:cs="Times New Roman"/>
          <w:b w:val="0"/>
          <w:bCs/>
          <w:sz w:val="24"/>
          <w:szCs w:val="24"/>
          <w:lang w:val="en-US" w:eastAsia="zh-CN"/>
        </w:rPr>
        <w:t xml:space="preserve"> of School_</w:t>
      </w:r>
      <w:r>
        <w:rPr>
          <w:rFonts w:hint="default" w:ascii="Times New Roman" w:hAnsi="Times New Roman" w:cs="Times New Roman"/>
          <w:b w:val="0"/>
          <w:bCs/>
          <w:sz w:val="24"/>
          <w:szCs w:val="24"/>
          <w:lang w:val="en-US" w:eastAsia="zh-CN"/>
        </w:rPr>
        <w:t>Course Name (e.g., "School</w:t>
      </w:r>
      <w:r>
        <w:rPr>
          <w:rFonts w:hint="eastAsia" w:cs="Times New Roman"/>
          <w:b w:val="0"/>
          <w:bCs/>
          <w:sz w:val="24"/>
          <w:szCs w:val="24"/>
          <w:lang w:val="en-US" w:eastAsia="zh-CN"/>
        </w:rPr>
        <w:t xml:space="preserve"> of International Law</w:t>
      </w:r>
      <w:r>
        <w:rPr>
          <w:rFonts w:hint="default" w:ascii="Times New Roman" w:hAnsi="Times New Roman" w:cs="Times New Roman"/>
          <w:b w:val="0"/>
          <w:bCs/>
          <w:sz w:val="24"/>
          <w:szCs w:val="24"/>
          <w:lang w:val="en-US" w:eastAsia="zh-CN"/>
        </w:rPr>
        <w:t>_International Commercial Arbitration")</w:t>
      </w:r>
      <w:r>
        <w:rPr>
          <w:rFonts w:ascii="宋体" w:hAnsi="宋体"/>
          <w:b/>
          <w:sz w:val="28"/>
          <w:szCs w:val="28"/>
        </w:rPr>
        <w:br w:type="page"/>
      </w:r>
    </w:p>
    <w:p w14:paraId="2225F75A">
      <w:pPr>
        <w:spacing w:before="100" w:beforeAutospacing="1" w:after="100" w:afterAutospacing="1" w:line="360" w:lineRule="auto"/>
        <w:jc w:val="left"/>
        <w:rPr>
          <w:rFonts w:hint="eastAsia" w:eastAsia="宋体"/>
          <w:color w:val="000000"/>
          <w:sz w:val="18"/>
          <w:szCs w:val="18"/>
          <w:lang w:eastAsia="zh-CN"/>
        </w:rPr>
      </w:pPr>
      <w:r>
        <w:rPr>
          <w:rFonts w:ascii="宋体" w:hAnsi="宋体"/>
          <w:b/>
          <w:sz w:val="28"/>
          <w:szCs w:val="28"/>
        </w:rPr>
        <w:t>附件</w:t>
      </w:r>
    </w:p>
    <w:p w14:paraId="11808D85">
      <w:pPr>
        <w:spacing w:before="100" w:beforeAutospacing="1" w:after="100" w:afterAutospacing="1" w:line="360" w:lineRule="auto"/>
        <w:ind w:firstLine="562" w:firstLineChars="200"/>
        <w:jc w:val="center"/>
        <w:rPr>
          <w:rFonts w:hint="eastAsia" w:ascii="宋体" w:hAnsi="宋体"/>
          <w:b/>
          <w:sz w:val="28"/>
          <w:szCs w:val="28"/>
        </w:rPr>
      </w:pPr>
      <w:r>
        <w:rPr>
          <w:rFonts w:ascii="宋体" w:hAnsi="宋体"/>
          <w:b/>
          <w:sz w:val="28"/>
          <w:szCs w:val="28"/>
        </w:rPr>
        <w:t>《课程简介》编写要求</w:t>
      </w:r>
    </w:p>
    <w:p w14:paraId="13080C3B">
      <w:pPr>
        <w:spacing w:before="100" w:beforeAutospacing="1" w:after="100" w:afterAutospacing="1" w:line="360" w:lineRule="auto"/>
        <w:ind w:firstLine="560" w:firstLineChars="200"/>
        <w:jc w:val="left"/>
        <w:rPr>
          <w:rFonts w:hint="eastAsia" w:ascii="仿宋" w:hAnsi="仿宋" w:eastAsia="仿宋"/>
          <w:sz w:val="28"/>
          <w:szCs w:val="28"/>
        </w:rPr>
      </w:pPr>
      <w:r>
        <w:rPr>
          <w:rFonts w:hint="eastAsia" w:ascii="仿宋" w:hAnsi="仿宋" w:eastAsia="仿宋"/>
          <w:sz w:val="28"/>
          <w:szCs w:val="28"/>
        </w:rPr>
        <w:t>1. 《课程简介》包括四部分：课程主讲人简介、基本信息、课程目标、课程内容，每部分由中、英两种语言编写，各部分中英文内容须保持一致。</w:t>
      </w:r>
    </w:p>
    <w:p w14:paraId="03039368">
      <w:pPr>
        <w:spacing w:before="100" w:beforeAutospacing="1" w:after="100" w:afterAutospacing="1" w:line="360" w:lineRule="auto"/>
        <w:ind w:firstLine="560" w:firstLineChars="200"/>
        <w:jc w:val="left"/>
        <w:rPr>
          <w:rFonts w:hint="eastAsia" w:ascii="仿宋" w:hAnsi="仿宋" w:eastAsia="仿宋"/>
          <w:sz w:val="28"/>
          <w:szCs w:val="28"/>
        </w:rPr>
      </w:pPr>
      <w:r>
        <w:rPr>
          <w:rFonts w:hint="eastAsia" w:ascii="仿宋" w:hAnsi="仿宋" w:eastAsia="仿宋"/>
          <w:sz w:val="28"/>
          <w:szCs w:val="28"/>
        </w:rPr>
        <w:t xml:space="preserve">2. </w:t>
      </w:r>
      <w:r>
        <w:rPr>
          <w:rFonts w:ascii="仿宋" w:hAnsi="仿宋" w:eastAsia="仿宋"/>
          <w:sz w:val="28"/>
          <w:szCs w:val="28"/>
        </w:rPr>
        <w:t>每门</w:t>
      </w:r>
      <w:r>
        <w:rPr>
          <w:rFonts w:hint="eastAsia" w:ascii="仿宋" w:hAnsi="仿宋" w:eastAsia="仿宋"/>
          <w:sz w:val="28"/>
          <w:szCs w:val="28"/>
        </w:rPr>
        <w:t>《</w:t>
      </w:r>
      <w:r>
        <w:rPr>
          <w:rFonts w:ascii="仿宋" w:hAnsi="仿宋" w:eastAsia="仿宋"/>
          <w:sz w:val="28"/>
          <w:szCs w:val="28"/>
        </w:rPr>
        <w:t>课程简介</w:t>
      </w:r>
      <w:r>
        <w:rPr>
          <w:rFonts w:hint="eastAsia" w:ascii="仿宋" w:hAnsi="仿宋" w:eastAsia="仿宋"/>
          <w:sz w:val="28"/>
          <w:szCs w:val="28"/>
        </w:rPr>
        <w:t>》有2个A4页面的空间，《</w:t>
      </w:r>
      <w:r>
        <w:rPr>
          <w:rFonts w:ascii="仿宋" w:hAnsi="仿宋" w:eastAsia="仿宋"/>
          <w:sz w:val="28"/>
          <w:szCs w:val="28"/>
        </w:rPr>
        <w:t>课程简介</w:t>
      </w:r>
      <w:r>
        <w:rPr>
          <w:rFonts w:hint="eastAsia" w:ascii="仿宋" w:hAnsi="仿宋" w:eastAsia="仿宋"/>
          <w:sz w:val="28"/>
          <w:szCs w:val="28"/>
        </w:rPr>
        <w:t>》全部内容不能超过2页版面；“课程负责人简介”和“基本信息”两部分不超过1页版面，“课程目标”和“课程内容”两部分不超过1页版面。</w:t>
      </w:r>
    </w:p>
    <w:p w14:paraId="65C12A40">
      <w:pPr>
        <w:spacing w:before="100" w:beforeAutospacing="1" w:after="100" w:afterAutospacing="1" w:line="360" w:lineRule="auto"/>
        <w:ind w:firstLine="560" w:firstLineChars="200"/>
        <w:jc w:val="left"/>
        <w:rPr>
          <w:rFonts w:hint="eastAsia" w:ascii="仿宋" w:hAnsi="仿宋" w:eastAsia="仿宋"/>
          <w:sz w:val="28"/>
          <w:szCs w:val="28"/>
        </w:rPr>
      </w:pPr>
      <w:r>
        <w:rPr>
          <w:rFonts w:hint="eastAsia" w:ascii="仿宋" w:hAnsi="仿宋" w:eastAsia="仿宋"/>
          <w:sz w:val="28"/>
          <w:szCs w:val="28"/>
        </w:rPr>
        <w:t>3.中文字体为宋体，英文字体为Calibri，中英文正文字体大小均为小五号字；“基本信息”表格内字体大小为六号字。请直接套用格式模版填写课程简介。</w:t>
      </w:r>
    </w:p>
    <w:p w14:paraId="2B24A16A">
      <w:pPr>
        <w:spacing w:after="160"/>
        <w:ind w:firstLine="560" w:firstLineChars="200"/>
        <w:rPr>
          <w:rFonts w:ascii="仿宋" w:hAnsi="仿宋" w:eastAsia="仿宋"/>
          <w:sz w:val="28"/>
          <w:szCs w:val="28"/>
        </w:rPr>
      </w:pPr>
      <w:r>
        <w:rPr>
          <w:rFonts w:hint="eastAsia" w:ascii="仿宋" w:hAnsi="仿宋" w:eastAsia="仿宋"/>
          <w:sz w:val="28"/>
          <w:szCs w:val="28"/>
        </w:rPr>
        <w:t>4.请编辑为Word文档，并提交Word文档。文档命名规则：院系名称_课程名称。</w:t>
      </w:r>
    </w:p>
    <w:p w14:paraId="59896265">
      <w:pPr>
        <w:ind w:firstLine="1"/>
        <w:jc w:val="left"/>
        <w:rPr>
          <w:rFonts w:hint="eastAsia" w:ascii="微软雅黑" w:hAnsi="微软雅黑" w:eastAsia="微软雅黑"/>
          <w:b/>
          <w:bCs/>
          <w:sz w:val="18"/>
          <w:szCs w:val="18"/>
          <w:bdr w:val="single" w:color="auto" w:sz="4" w:space="0"/>
        </w:rPr>
      </w:pPr>
    </w:p>
    <w:p w14:paraId="5240D42C">
      <w:pPr>
        <w:ind w:firstLine="1"/>
        <w:jc w:val="left"/>
        <w:rPr>
          <w:rFonts w:hint="eastAsia" w:ascii="微软雅黑" w:hAnsi="微软雅黑" w:eastAsia="微软雅黑"/>
          <w:b/>
          <w:bCs/>
          <w:sz w:val="18"/>
          <w:szCs w:val="18"/>
          <w:bdr w:val="single" w:color="auto" w:sz="4" w:space="0"/>
        </w:rPr>
      </w:pPr>
      <w:r>
        <w:rPr>
          <w:rFonts w:ascii="微软雅黑" w:hAnsi="微软雅黑" w:eastAsia="微软雅黑"/>
          <w:b/>
          <w:bCs/>
          <w:sz w:val="18"/>
          <w:szCs w:val="18"/>
          <w:bdr w:val="single" w:color="auto" w:sz="4" w:space="0"/>
        </w:rPr>
        <w:br w:type="page"/>
      </w:r>
      <w:r>
        <w:rPr>
          <w:rFonts w:ascii="微软雅黑" w:hAnsi="微软雅黑" w:eastAsia="微软雅黑"/>
          <w:b/>
          <w:bCs/>
          <w:sz w:val="18"/>
          <w:szCs w:val="18"/>
          <w:bdr w:val="single" w:color="auto" w:sz="4" w:space="0"/>
        </w:rPr>
        <w:t>附件</w:t>
      </w:r>
      <w:r>
        <w:rPr>
          <w:rFonts w:hint="eastAsia" w:ascii="微软雅黑" w:hAnsi="微软雅黑" w:eastAsia="微软雅黑"/>
          <w:b/>
          <w:bCs/>
          <w:sz w:val="18"/>
          <w:szCs w:val="18"/>
          <w:bdr w:val="single" w:color="auto" w:sz="4" w:space="0"/>
          <w:lang w:val="en-US" w:eastAsia="zh-CN"/>
        </w:rPr>
        <w:t>3</w:t>
      </w:r>
      <w:r>
        <w:rPr>
          <w:rFonts w:hint="eastAsia" w:ascii="微软雅黑" w:hAnsi="微软雅黑" w:eastAsia="微软雅黑"/>
          <w:b/>
          <w:bCs/>
          <w:sz w:val="18"/>
          <w:szCs w:val="18"/>
          <w:bdr w:val="single" w:color="auto" w:sz="4" w:space="0"/>
        </w:rPr>
        <w:t xml:space="preserve">  课程简介格式模版</w:t>
      </w:r>
    </w:p>
    <w:p w14:paraId="01B37BD8">
      <w:pPr>
        <w:ind w:firstLine="1"/>
        <w:jc w:val="center"/>
        <w:rPr>
          <w:rFonts w:hint="eastAsia" w:hAnsi="宋体"/>
          <w:b/>
          <w:bCs/>
          <w:sz w:val="32"/>
          <w:szCs w:val="32"/>
        </w:rPr>
      </w:pPr>
      <w:r>
        <w:rPr>
          <w:rFonts w:hAnsi="宋体"/>
          <w:b/>
          <w:bCs/>
          <w:sz w:val="32"/>
          <w:szCs w:val="32"/>
        </w:rPr>
        <w:t>系统解剖学</w:t>
      </w:r>
    </w:p>
    <w:p w14:paraId="1A759352">
      <w:pPr>
        <w:spacing w:after="160"/>
        <w:jc w:val="center"/>
        <w:rPr>
          <w:rFonts w:hint="eastAsia" w:hAnsi="宋体"/>
          <w:b/>
          <w:bCs/>
          <w:sz w:val="28"/>
          <w:szCs w:val="28"/>
        </w:rPr>
      </w:pPr>
      <w:r>
        <w:rPr>
          <w:rFonts w:hAnsi="宋体"/>
          <w:b/>
          <w:bCs/>
          <w:sz w:val="28"/>
          <w:szCs w:val="28"/>
        </w:rPr>
        <w:t>Systematic Anatomy</w:t>
      </w:r>
    </w:p>
    <w:p w14:paraId="64DD467D">
      <w:pPr>
        <w:spacing w:before="100" w:beforeAutospacing="1" w:after="100" w:afterAutospacing="1"/>
        <w:rPr>
          <w:rFonts w:hint="eastAsia" w:hAnsi="宋体"/>
          <w:b/>
          <w:bCs/>
          <w:color w:val="000080"/>
          <w:sz w:val="24"/>
          <w:szCs w:val="24"/>
        </w:rPr>
      </w:pPr>
      <w:r>
        <w:rPr>
          <w:rFonts w:hint="eastAsia" w:hAnsi="宋体"/>
          <w:b/>
          <w:bCs/>
          <w:color w:val="000080"/>
          <w:sz w:val="24"/>
          <w:szCs w:val="24"/>
        </w:rPr>
        <w:t>课程主讲人简介</w:t>
      </w:r>
    </w:p>
    <w:p w14:paraId="556ABE49">
      <w:pPr>
        <w:spacing w:after="160" w:line="276" w:lineRule="auto"/>
        <w:ind w:firstLine="360" w:firstLineChars="200"/>
        <w:rPr>
          <w:rFonts w:hint="eastAsia" w:hAnsi="宋体"/>
          <w:color w:val="FF0000"/>
          <w:sz w:val="18"/>
          <w:szCs w:val="18"/>
        </w:rPr>
      </w:pPr>
      <w:r>
        <w:rPr>
          <w:rFonts w:hAnsi="宋体"/>
          <w:color w:val="000000"/>
          <w:sz w:val="18"/>
          <w:szCs w:val="18"/>
        </w:rPr>
        <w:t>张</w:t>
      </w:r>
      <w:r>
        <w:rPr>
          <w:rFonts w:hint="eastAsia" w:hAnsi="宋体"/>
          <w:color w:val="000000"/>
          <w:sz w:val="18"/>
          <w:szCs w:val="18"/>
        </w:rPr>
        <w:t>爱国，教授，1990年在</w:t>
      </w:r>
      <w:r>
        <w:rPr>
          <w:rFonts w:hAnsi="宋体"/>
          <w:color w:val="000000"/>
          <w:sz w:val="18"/>
          <w:szCs w:val="18"/>
        </w:rPr>
        <w:t>复旦大学</w:t>
      </w:r>
      <w:r>
        <w:rPr>
          <w:rFonts w:hint="eastAsia" w:hAnsi="宋体"/>
          <w:color w:val="000000"/>
          <w:sz w:val="18"/>
          <w:szCs w:val="18"/>
        </w:rPr>
        <w:t>获得</w:t>
      </w:r>
      <w:r>
        <w:rPr>
          <w:rFonts w:hAnsi="宋体"/>
          <w:color w:val="000000"/>
          <w:sz w:val="18"/>
          <w:szCs w:val="18"/>
        </w:rPr>
        <w:t>医学博士学位，</w:t>
      </w:r>
      <w:r>
        <w:rPr>
          <w:rFonts w:hint="eastAsia" w:hAnsi="宋体"/>
          <w:color w:val="000000"/>
          <w:sz w:val="18"/>
          <w:szCs w:val="18"/>
        </w:rPr>
        <w:t>隶属于</w:t>
      </w:r>
      <w:r>
        <w:rPr>
          <w:rFonts w:hAnsi="宋体"/>
          <w:color w:val="000000"/>
          <w:sz w:val="18"/>
          <w:szCs w:val="18"/>
        </w:rPr>
        <w:t>复旦大学基础医学院解剖组织胚胎学系，硕士生导师</w:t>
      </w:r>
      <w:r>
        <w:rPr>
          <w:rFonts w:hint="eastAsia" w:hAnsi="宋体"/>
          <w:color w:val="000000"/>
          <w:sz w:val="18"/>
          <w:szCs w:val="18"/>
        </w:rPr>
        <w:t>，</w:t>
      </w:r>
      <w:r>
        <w:rPr>
          <w:rFonts w:hAnsi="宋体"/>
          <w:color w:val="000000"/>
          <w:sz w:val="18"/>
          <w:szCs w:val="18"/>
        </w:rPr>
        <w:t>曾在纽约州立大学</w:t>
      </w:r>
      <w:r>
        <w:rPr>
          <w:rFonts w:hint="eastAsia" w:hAnsi="宋体"/>
          <w:color w:val="000000"/>
          <w:sz w:val="18"/>
          <w:szCs w:val="18"/>
        </w:rPr>
        <w:t>医学中心</w:t>
      </w:r>
      <w:r>
        <w:rPr>
          <w:rFonts w:hAnsi="宋体"/>
          <w:color w:val="000000"/>
          <w:sz w:val="18"/>
          <w:szCs w:val="18"/>
        </w:rPr>
        <w:t>从事博士后研究</w:t>
      </w:r>
      <w:r>
        <w:rPr>
          <w:rFonts w:hint="eastAsia" w:hAnsi="宋体"/>
          <w:color w:val="000000"/>
          <w:sz w:val="18"/>
          <w:szCs w:val="18"/>
        </w:rPr>
        <w:t>两年</w:t>
      </w:r>
      <w:r>
        <w:rPr>
          <w:rFonts w:hAnsi="宋体"/>
          <w:color w:val="000000"/>
          <w:sz w:val="18"/>
          <w:szCs w:val="18"/>
        </w:rPr>
        <w:t>。</w:t>
      </w:r>
      <w:r>
        <w:rPr>
          <w:rFonts w:hint="eastAsia" w:hAnsi="宋体"/>
          <w:color w:val="000000"/>
          <w:sz w:val="18"/>
          <w:szCs w:val="18"/>
        </w:rPr>
        <w:t>主要</w:t>
      </w:r>
      <w:r>
        <w:rPr>
          <w:rFonts w:hAnsi="宋体"/>
          <w:color w:val="000000"/>
          <w:sz w:val="18"/>
          <w:szCs w:val="18"/>
        </w:rPr>
        <w:t>从事</w:t>
      </w:r>
      <w:r>
        <w:rPr>
          <w:rFonts w:hint="eastAsia" w:hAnsi="宋体"/>
          <w:color w:val="000000"/>
          <w:sz w:val="18"/>
          <w:szCs w:val="18"/>
        </w:rPr>
        <w:t>系统解剖学</w:t>
      </w:r>
      <w:r>
        <w:rPr>
          <w:rFonts w:hAnsi="宋体"/>
          <w:color w:val="000000"/>
          <w:sz w:val="18"/>
          <w:szCs w:val="18"/>
        </w:rPr>
        <w:t>，局部解剖学</w:t>
      </w:r>
      <w:r>
        <w:rPr>
          <w:rFonts w:hint="eastAsia" w:hAnsi="宋体"/>
          <w:color w:val="000000"/>
          <w:sz w:val="18"/>
          <w:szCs w:val="18"/>
        </w:rPr>
        <w:t>的</w:t>
      </w:r>
      <w:r>
        <w:rPr>
          <w:rFonts w:hAnsi="宋体"/>
          <w:color w:val="000000"/>
          <w:sz w:val="18"/>
          <w:szCs w:val="18"/>
        </w:rPr>
        <w:t>教学工作</w:t>
      </w:r>
      <w:r>
        <w:rPr>
          <w:rFonts w:hint="eastAsia" w:hAnsi="宋体"/>
          <w:color w:val="000000"/>
          <w:sz w:val="18"/>
          <w:szCs w:val="18"/>
        </w:rPr>
        <w:t>，长期</w:t>
      </w:r>
      <w:r>
        <w:rPr>
          <w:rFonts w:hAnsi="宋体"/>
          <w:color w:val="000000"/>
          <w:sz w:val="18"/>
          <w:szCs w:val="18"/>
        </w:rPr>
        <w:t>从事留学生</w:t>
      </w:r>
      <w:r>
        <w:rPr>
          <w:rFonts w:hint="eastAsia" w:hAnsi="宋体"/>
          <w:color w:val="000000"/>
          <w:sz w:val="18"/>
          <w:szCs w:val="18"/>
        </w:rPr>
        <w:t>解剖学</w:t>
      </w:r>
      <w:r>
        <w:rPr>
          <w:rFonts w:hAnsi="宋体"/>
          <w:color w:val="000000"/>
          <w:sz w:val="18"/>
          <w:szCs w:val="18"/>
        </w:rPr>
        <w:t>全英文教学工作。</w:t>
      </w:r>
      <w:r>
        <w:rPr>
          <w:rFonts w:hint="eastAsia" w:hAnsi="宋体"/>
          <w:color w:val="000000"/>
          <w:sz w:val="18"/>
          <w:szCs w:val="18"/>
        </w:rPr>
        <w:t>研究兴趣是动脉粥样硬化和心血管重构的机理</w:t>
      </w:r>
      <w:r>
        <w:rPr>
          <w:rFonts w:hAnsi="宋体"/>
          <w:color w:val="000000"/>
          <w:sz w:val="18"/>
          <w:szCs w:val="18"/>
        </w:rPr>
        <w:t>。</w:t>
      </w:r>
      <w:r>
        <w:rPr>
          <w:rFonts w:hint="eastAsia" w:hAnsi="宋体"/>
          <w:color w:val="000000"/>
          <w:sz w:val="18"/>
          <w:szCs w:val="18"/>
        </w:rPr>
        <w:t>已在国内外</w:t>
      </w:r>
      <w:r>
        <w:rPr>
          <w:rFonts w:hAnsi="宋体"/>
          <w:color w:val="000000"/>
          <w:sz w:val="18"/>
          <w:szCs w:val="18"/>
        </w:rPr>
        <w:t>学术刊物上发表SCI论文</w:t>
      </w:r>
      <w:r>
        <w:rPr>
          <w:rFonts w:hint="eastAsia" w:hAnsi="宋体"/>
          <w:color w:val="000000"/>
          <w:sz w:val="18"/>
          <w:szCs w:val="18"/>
        </w:rPr>
        <w:t>近2</w:t>
      </w:r>
      <w:r>
        <w:rPr>
          <w:rFonts w:hAnsi="宋体"/>
          <w:color w:val="000000"/>
          <w:sz w:val="18"/>
          <w:szCs w:val="18"/>
        </w:rPr>
        <w:t>0</w:t>
      </w:r>
      <w:r>
        <w:rPr>
          <w:rFonts w:hint="eastAsia" w:hAnsi="宋体"/>
          <w:color w:val="000000"/>
          <w:sz w:val="18"/>
          <w:szCs w:val="18"/>
        </w:rPr>
        <w:t>篇</w:t>
      </w:r>
      <w:r>
        <w:rPr>
          <w:rFonts w:hAnsi="宋体"/>
          <w:color w:val="000000"/>
          <w:sz w:val="18"/>
          <w:szCs w:val="18"/>
        </w:rPr>
        <w:t>。出版和合作出版专著</w:t>
      </w:r>
      <w:r>
        <w:rPr>
          <w:rFonts w:hint="eastAsia" w:hAnsi="宋体"/>
          <w:color w:val="000000"/>
          <w:sz w:val="18"/>
          <w:szCs w:val="18"/>
        </w:rPr>
        <w:t>12部</w:t>
      </w:r>
      <w:r>
        <w:rPr>
          <w:rFonts w:hAnsi="宋体"/>
          <w:color w:val="000000"/>
          <w:sz w:val="18"/>
          <w:szCs w:val="18"/>
        </w:rPr>
        <w:t>。</w:t>
      </w:r>
      <w:r>
        <w:rPr>
          <w:rFonts w:hint="eastAsia" w:hAnsi="宋体"/>
          <w:color w:val="000000"/>
          <w:sz w:val="18"/>
          <w:szCs w:val="18"/>
        </w:rPr>
        <w:t>主持</w:t>
      </w:r>
      <w:r>
        <w:rPr>
          <w:rFonts w:hAnsi="宋体"/>
          <w:color w:val="000000"/>
          <w:sz w:val="18"/>
          <w:szCs w:val="18"/>
        </w:rPr>
        <w:t>和参与国</w:t>
      </w:r>
      <w:r>
        <w:rPr>
          <w:rFonts w:hint="eastAsia" w:hAnsi="宋体"/>
          <w:color w:val="000000"/>
          <w:sz w:val="18"/>
          <w:szCs w:val="18"/>
        </w:rPr>
        <w:t>家</w:t>
      </w:r>
      <w:r>
        <w:rPr>
          <w:rFonts w:hAnsi="宋体"/>
          <w:color w:val="000000"/>
          <w:sz w:val="18"/>
          <w:szCs w:val="18"/>
        </w:rPr>
        <w:t>及上海市多项科研课题。</w:t>
      </w:r>
      <w:r>
        <w:rPr>
          <w:rFonts w:hint="eastAsia" w:hAnsi="宋体"/>
          <w:color w:val="000000"/>
          <w:sz w:val="18"/>
          <w:szCs w:val="18"/>
        </w:rPr>
        <w:t>2015年获得</w:t>
      </w:r>
      <w:r>
        <w:rPr>
          <w:rFonts w:hAnsi="宋体"/>
          <w:color w:val="000000"/>
          <w:sz w:val="18"/>
          <w:szCs w:val="18"/>
        </w:rPr>
        <w:t>复旦大学</w:t>
      </w:r>
      <w:r>
        <w:rPr>
          <w:rFonts w:hint="eastAsia" w:hAnsi="宋体"/>
          <w:color w:val="000000"/>
          <w:sz w:val="18"/>
          <w:szCs w:val="18"/>
        </w:rPr>
        <w:t>本科教学</w:t>
      </w:r>
      <w:r>
        <w:rPr>
          <w:rFonts w:hAnsi="宋体"/>
          <w:color w:val="000000"/>
          <w:sz w:val="18"/>
          <w:szCs w:val="18"/>
        </w:rPr>
        <w:t>贡献奖</w:t>
      </w:r>
      <w:r>
        <w:rPr>
          <w:rFonts w:hint="eastAsia" w:hAnsi="宋体"/>
          <w:color w:val="000000"/>
          <w:sz w:val="18"/>
          <w:szCs w:val="18"/>
        </w:rPr>
        <w:t>。</w:t>
      </w:r>
      <w:r>
        <w:rPr>
          <w:rFonts w:hAnsi="宋体"/>
          <w:color w:val="FF0000"/>
          <w:sz w:val="18"/>
          <w:szCs w:val="18"/>
        </w:rPr>
        <w:t>（</w:t>
      </w:r>
      <w:r>
        <w:rPr>
          <w:rFonts w:hint="eastAsia" w:hAnsi="宋体"/>
          <w:color w:val="FF0000"/>
          <w:sz w:val="18"/>
          <w:szCs w:val="18"/>
        </w:rPr>
        <w:t>个人简介不少于150字，不超过250字。</w:t>
      </w:r>
      <w:r>
        <w:rPr>
          <w:rFonts w:hAnsi="宋体"/>
          <w:color w:val="FF0000"/>
          <w:sz w:val="18"/>
          <w:szCs w:val="18"/>
        </w:rPr>
        <w:t>）</w:t>
      </w:r>
    </w:p>
    <w:p w14:paraId="3D11A347">
      <w:pPr>
        <w:spacing w:before="100" w:beforeAutospacing="1" w:after="100" w:afterAutospacing="1"/>
        <w:rPr>
          <w:rFonts w:hint="eastAsia" w:hAnsi="宋体"/>
          <w:b/>
          <w:bCs/>
          <w:color w:val="000080"/>
          <w:sz w:val="24"/>
          <w:szCs w:val="24"/>
        </w:rPr>
      </w:pPr>
      <w:bookmarkStart w:id="0" w:name="OLE_LINK5"/>
      <w:bookmarkStart w:id="1" w:name="OLE_LINK4"/>
      <w:bookmarkStart w:id="2" w:name="OLE_LINK2"/>
      <w:bookmarkStart w:id="3" w:name="OLE_LINK1"/>
      <w:r>
        <w:rPr>
          <w:rFonts w:hAnsi="宋体"/>
          <w:b/>
          <w:bCs/>
          <w:color w:val="000080"/>
          <w:sz w:val="24"/>
          <w:szCs w:val="24"/>
        </w:rPr>
        <w:t>Profile</w:t>
      </w:r>
      <w:bookmarkEnd w:id="0"/>
      <w:bookmarkEnd w:id="1"/>
    </w:p>
    <w:bookmarkEnd w:id="2"/>
    <w:bookmarkEnd w:id="3"/>
    <w:p w14:paraId="488F3185">
      <w:pPr>
        <w:spacing w:after="160" w:line="276" w:lineRule="auto"/>
        <w:ind w:firstLine="360" w:firstLineChars="200"/>
        <w:rPr>
          <w:color w:val="000000"/>
          <w:sz w:val="18"/>
          <w:szCs w:val="18"/>
        </w:rPr>
      </w:pPr>
      <w:r>
        <w:rPr>
          <w:color w:val="000000"/>
          <w:sz w:val="18"/>
          <w:szCs w:val="18"/>
        </w:rPr>
        <w:t xml:space="preserve">ZHANG Ai-guo, </w:t>
      </w:r>
      <w:r>
        <w:rPr>
          <w:rFonts w:hint="eastAsia"/>
          <w:color w:val="000000"/>
          <w:sz w:val="18"/>
          <w:szCs w:val="18"/>
        </w:rPr>
        <w:t>professor</w:t>
      </w:r>
      <w:r>
        <w:rPr>
          <w:color w:val="000000"/>
          <w:sz w:val="18"/>
          <w:szCs w:val="18"/>
        </w:rPr>
        <w:t xml:space="preserve">, got his Medical Doctor of Fudan University in </w:t>
      </w:r>
      <w:r>
        <w:rPr>
          <w:rFonts w:hint="eastAsia"/>
          <w:color w:val="000000"/>
          <w:sz w:val="18"/>
          <w:szCs w:val="18"/>
        </w:rPr>
        <w:t>1990,</w:t>
      </w:r>
      <w:r>
        <w:rPr>
          <w:color w:val="000000"/>
          <w:sz w:val="18"/>
          <w:szCs w:val="18"/>
        </w:rPr>
        <w:t xml:space="preserve"> A</w:t>
      </w:r>
      <w:r>
        <w:rPr>
          <w:rFonts w:hint="eastAsia"/>
          <w:color w:val="000000"/>
          <w:sz w:val="18"/>
          <w:szCs w:val="18"/>
        </w:rPr>
        <w:t xml:space="preserve">ssociate </w:t>
      </w:r>
      <w:r>
        <w:rPr>
          <w:color w:val="000000"/>
          <w:sz w:val="18"/>
          <w:szCs w:val="18"/>
        </w:rPr>
        <w:t>P</w:t>
      </w:r>
      <w:r>
        <w:rPr>
          <w:rFonts w:hint="eastAsia"/>
          <w:color w:val="000000"/>
          <w:sz w:val="18"/>
          <w:szCs w:val="18"/>
        </w:rPr>
        <w:t xml:space="preserve">rofessor of </w:t>
      </w:r>
      <w:r>
        <w:rPr>
          <w:color w:val="000000"/>
          <w:sz w:val="18"/>
          <w:szCs w:val="18"/>
        </w:rPr>
        <w:t>department of anatomy, histology and embryology, school of basic medical sciences, Fudan University. He went to Downstate Medical Center of State University of Newyork for post-doctor research for two years. He goes in for teaching work of Human anatomy for more than 25 years, especially in English lecture. His research interests mainly focus on mechanism of atherosclerosis and cardiovascular remodeling. 20 SCI research papers have been published in international</w:t>
      </w:r>
      <w:r>
        <w:rPr>
          <w:rFonts w:hint="eastAsia"/>
          <w:color w:val="000000"/>
          <w:sz w:val="18"/>
          <w:szCs w:val="18"/>
        </w:rPr>
        <w:t>.</w:t>
      </w:r>
    </w:p>
    <w:tbl>
      <w:tblPr>
        <w:tblStyle w:val="3"/>
        <w:tblpPr w:leftFromText="180" w:rightFromText="180" w:vertAnchor="text" w:horzAnchor="margin" w:tblpX="74" w:tblpY="7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86"/>
        <w:gridCol w:w="4678"/>
      </w:tblGrid>
      <w:tr w14:paraId="0C3A2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686" w:type="dxa"/>
            <w:shd w:val="clear" w:color="auto" w:fill="B8CCE4"/>
            <w:noWrap w:val="0"/>
            <w:vAlign w:val="center"/>
          </w:tcPr>
          <w:p w14:paraId="3D23EEAC">
            <w:pPr>
              <w:spacing w:after="160"/>
              <w:rPr>
                <w:b/>
                <w:bCs/>
                <w:color w:val="1F497D"/>
                <w:sz w:val="15"/>
                <w:szCs w:val="15"/>
              </w:rPr>
            </w:pPr>
            <w:r>
              <w:rPr>
                <w:rFonts w:hAnsi="宋体"/>
                <w:b/>
                <w:bCs/>
                <w:color w:val="1F497D"/>
                <w:sz w:val="15"/>
                <w:szCs w:val="15"/>
              </w:rPr>
              <w:t>院系</w:t>
            </w:r>
            <w:r>
              <w:rPr>
                <w:b/>
                <w:bCs/>
                <w:color w:val="1F497D"/>
                <w:sz w:val="15"/>
                <w:szCs w:val="15"/>
              </w:rPr>
              <w:t xml:space="preserve"> </w:t>
            </w:r>
            <w:r>
              <w:rPr>
                <w:rFonts w:hint="eastAsia"/>
                <w:b/>
                <w:bCs/>
                <w:color w:val="1F497D"/>
                <w:sz w:val="15"/>
                <w:szCs w:val="15"/>
              </w:rPr>
              <w:t xml:space="preserve"> </w:t>
            </w:r>
            <w:r>
              <w:rPr>
                <w:b/>
                <w:bCs/>
                <w:color w:val="1F497D"/>
                <w:sz w:val="15"/>
                <w:szCs w:val="15"/>
              </w:rPr>
              <w:t>School</w:t>
            </w:r>
          </w:p>
        </w:tc>
        <w:tc>
          <w:tcPr>
            <w:tcW w:w="4678" w:type="dxa"/>
            <w:noWrap w:val="0"/>
            <w:vAlign w:val="center"/>
          </w:tcPr>
          <w:p w14:paraId="2245AA55">
            <w:pPr>
              <w:spacing w:after="160"/>
              <w:rPr>
                <w:color w:val="000000"/>
                <w:sz w:val="15"/>
                <w:szCs w:val="15"/>
              </w:rPr>
            </w:pPr>
            <w:r>
              <w:rPr>
                <w:rFonts w:hAnsi="宋体"/>
                <w:color w:val="000000"/>
                <w:sz w:val="15"/>
                <w:szCs w:val="15"/>
              </w:rPr>
              <w:t>基础医学院</w:t>
            </w:r>
            <w:r>
              <w:rPr>
                <w:color w:val="000000"/>
                <w:sz w:val="15"/>
                <w:szCs w:val="15"/>
              </w:rPr>
              <w:t xml:space="preserve"> </w:t>
            </w:r>
            <w:r>
              <w:rPr>
                <w:rFonts w:hAnsi="宋体"/>
                <w:color w:val="000000"/>
                <w:sz w:val="15"/>
                <w:szCs w:val="15"/>
              </w:rPr>
              <w:t>School of basic medical sciences</w:t>
            </w:r>
          </w:p>
        </w:tc>
      </w:tr>
      <w:tr w14:paraId="54A7B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686" w:type="dxa"/>
            <w:shd w:val="clear" w:color="auto" w:fill="B8CCE4"/>
            <w:noWrap w:val="0"/>
            <w:vAlign w:val="center"/>
          </w:tcPr>
          <w:p w14:paraId="152762E3">
            <w:pPr>
              <w:spacing w:after="160"/>
              <w:rPr>
                <w:b/>
                <w:bCs/>
                <w:color w:val="1F497D"/>
                <w:sz w:val="15"/>
                <w:szCs w:val="15"/>
              </w:rPr>
            </w:pPr>
            <w:r>
              <w:rPr>
                <w:rFonts w:hAnsi="宋体"/>
                <w:b/>
                <w:bCs/>
                <w:color w:val="1F497D"/>
                <w:sz w:val="15"/>
                <w:szCs w:val="15"/>
              </w:rPr>
              <w:t>学科门类</w:t>
            </w:r>
            <w:r>
              <w:rPr>
                <w:b/>
                <w:bCs/>
                <w:color w:val="1F497D"/>
                <w:sz w:val="15"/>
                <w:szCs w:val="15"/>
              </w:rPr>
              <w:t xml:space="preserve"> Fields of Study</w:t>
            </w:r>
          </w:p>
        </w:tc>
        <w:tc>
          <w:tcPr>
            <w:tcW w:w="4678" w:type="dxa"/>
            <w:noWrap w:val="0"/>
            <w:vAlign w:val="center"/>
          </w:tcPr>
          <w:p w14:paraId="6C68DA54">
            <w:pPr>
              <w:spacing w:after="160"/>
              <w:rPr>
                <w:color w:val="000000"/>
                <w:sz w:val="15"/>
                <w:szCs w:val="15"/>
              </w:rPr>
            </w:pPr>
            <w:r>
              <w:rPr>
                <w:rFonts w:hAnsi="宋体"/>
                <w:color w:val="000000"/>
                <w:sz w:val="15"/>
                <w:szCs w:val="15"/>
              </w:rPr>
              <w:t>医学</w:t>
            </w:r>
            <w:r>
              <w:rPr>
                <w:color w:val="000000"/>
                <w:sz w:val="15"/>
                <w:szCs w:val="15"/>
              </w:rPr>
              <w:t xml:space="preserve"> Medical sciences</w:t>
            </w:r>
          </w:p>
        </w:tc>
      </w:tr>
      <w:tr w14:paraId="5F130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686" w:type="dxa"/>
            <w:shd w:val="clear" w:color="auto" w:fill="B8CCE4"/>
            <w:noWrap w:val="0"/>
            <w:vAlign w:val="center"/>
          </w:tcPr>
          <w:p w14:paraId="7CCE91D7">
            <w:pPr>
              <w:spacing w:after="160"/>
              <w:rPr>
                <w:b/>
                <w:bCs/>
                <w:color w:val="1F497D"/>
                <w:sz w:val="15"/>
                <w:szCs w:val="15"/>
              </w:rPr>
            </w:pPr>
            <w:r>
              <w:rPr>
                <w:rFonts w:hAnsi="宋体"/>
                <w:b/>
                <w:bCs/>
                <w:color w:val="1F497D"/>
                <w:sz w:val="15"/>
                <w:szCs w:val="15"/>
              </w:rPr>
              <w:t>所属一级学科名称</w:t>
            </w:r>
            <w:r>
              <w:rPr>
                <w:b/>
                <w:bCs/>
                <w:color w:val="1F497D"/>
                <w:sz w:val="15"/>
                <w:szCs w:val="15"/>
              </w:rPr>
              <w:t xml:space="preserve"> Disciplines</w:t>
            </w:r>
          </w:p>
        </w:tc>
        <w:tc>
          <w:tcPr>
            <w:tcW w:w="4678" w:type="dxa"/>
            <w:noWrap w:val="0"/>
            <w:vAlign w:val="center"/>
          </w:tcPr>
          <w:p w14:paraId="325AD912">
            <w:pPr>
              <w:spacing w:after="160"/>
              <w:rPr>
                <w:color w:val="000000"/>
                <w:sz w:val="15"/>
                <w:szCs w:val="15"/>
              </w:rPr>
            </w:pPr>
            <w:r>
              <w:rPr>
                <w:rFonts w:hAnsi="宋体"/>
                <w:color w:val="000000"/>
                <w:sz w:val="15"/>
                <w:szCs w:val="15"/>
              </w:rPr>
              <w:t>基础医学类</w:t>
            </w:r>
            <w:r>
              <w:rPr>
                <w:color w:val="000000"/>
                <w:sz w:val="15"/>
                <w:szCs w:val="15"/>
              </w:rPr>
              <w:t xml:space="preserve"> Basic medical sciences field</w:t>
            </w:r>
          </w:p>
        </w:tc>
      </w:tr>
      <w:tr w14:paraId="41B62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686" w:type="dxa"/>
            <w:shd w:val="clear" w:color="auto" w:fill="B8CCE4"/>
            <w:noWrap w:val="0"/>
            <w:vAlign w:val="center"/>
          </w:tcPr>
          <w:p w14:paraId="466F05CB">
            <w:pPr>
              <w:spacing w:after="160"/>
              <w:rPr>
                <w:b/>
                <w:bCs/>
                <w:color w:val="1F497D"/>
                <w:sz w:val="15"/>
                <w:szCs w:val="15"/>
              </w:rPr>
            </w:pPr>
            <w:r>
              <w:rPr>
                <w:rFonts w:hAnsi="宋体"/>
                <w:b/>
                <w:bCs/>
                <w:color w:val="1F497D"/>
                <w:sz w:val="15"/>
                <w:szCs w:val="15"/>
              </w:rPr>
              <w:t>所属二级学科名称</w:t>
            </w:r>
            <w:r>
              <w:rPr>
                <w:b/>
                <w:bCs/>
                <w:color w:val="1F497D"/>
                <w:sz w:val="15"/>
                <w:szCs w:val="15"/>
              </w:rPr>
              <w:t xml:space="preserve"> Sub-Disciplines</w:t>
            </w:r>
          </w:p>
        </w:tc>
        <w:tc>
          <w:tcPr>
            <w:tcW w:w="4678" w:type="dxa"/>
            <w:noWrap w:val="0"/>
            <w:vAlign w:val="center"/>
          </w:tcPr>
          <w:p w14:paraId="5D301828">
            <w:pPr>
              <w:spacing w:after="160"/>
              <w:rPr>
                <w:color w:val="000000"/>
                <w:sz w:val="15"/>
                <w:szCs w:val="15"/>
              </w:rPr>
            </w:pPr>
            <w:r>
              <w:rPr>
                <w:rFonts w:hAnsi="宋体"/>
                <w:color w:val="000000"/>
                <w:sz w:val="15"/>
                <w:szCs w:val="15"/>
              </w:rPr>
              <w:t>基础医学</w:t>
            </w:r>
            <w:r>
              <w:rPr>
                <w:color w:val="000000"/>
                <w:sz w:val="15"/>
                <w:szCs w:val="15"/>
              </w:rPr>
              <w:t xml:space="preserve"> Basic medical sciences</w:t>
            </w:r>
          </w:p>
        </w:tc>
      </w:tr>
      <w:tr w14:paraId="48630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686" w:type="dxa"/>
            <w:shd w:val="clear" w:color="auto" w:fill="B8CCE4"/>
            <w:noWrap w:val="0"/>
            <w:vAlign w:val="center"/>
          </w:tcPr>
          <w:p w14:paraId="3D2B9497">
            <w:pPr>
              <w:spacing w:after="160"/>
              <w:rPr>
                <w:rFonts w:hAnsi="宋体"/>
                <w:b/>
                <w:bCs/>
                <w:color w:val="1F497D"/>
                <w:sz w:val="15"/>
                <w:szCs w:val="15"/>
              </w:rPr>
            </w:pPr>
            <w:r>
              <w:rPr>
                <w:rFonts w:hint="eastAsia" w:hAnsi="宋体"/>
                <w:b/>
                <w:bCs/>
                <w:color w:val="1F497D"/>
                <w:sz w:val="15"/>
                <w:szCs w:val="15"/>
              </w:rPr>
              <w:t>先修课程</w:t>
            </w:r>
            <w:r>
              <w:rPr>
                <w:b/>
                <w:bCs/>
                <w:color w:val="1F497D"/>
                <w:sz w:val="15"/>
                <w:szCs w:val="15"/>
              </w:rPr>
              <w:t xml:space="preserve"> Prerequisites</w:t>
            </w:r>
          </w:p>
        </w:tc>
        <w:tc>
          <w:tcPr>
            <w:tcW w:w="4678" w:type="dxa"/>
            <w:noWrap w:val="0"/>
            <w:vAlign w:val="center"/>
          </w:tcPr>
          <w:p w14:paraId="455BF8EE">
            <w:pPr>
              <w:spacing w:after="160"/>
              <w:rPr>
                <w:rFonts w:hAnsi="宋体"/>
                <w:color w:val="000000"/>
                <w:sz w:val="15"/>
                <w:szCs w:val="15"/>
              </w:rPr>
            </w:pPr>
            <w:r>
              <w:rPr>
                <w:rFonts w:hint="eastAsia"/>
                <w:color w:val="000000"/>
                <w:sz w:val="15"/>
                <w:szCs w:val="15"/>
              </w:rPr>
              <w:t>生物学</w:t>
            </w:r>
            <w:r>
              <w:rPr>
                <w:sz w:val="15"/>
                <w:szCs w:val="15"/>
              </w:rPr>
              <w:t xml:space="preserve"> </w:t>
            </w:r>
            <w:r>
              <w:rPr>
                <w:color w:val="000000"/>
                <w:sz w:val="15"/>
                <w:szCs w:val="15"/>
              </w:rPr>
              <w:t>Biology</w:t>
            </w:r>
          </w:p>
        </w:tc>
      </w:tr>
      <w:tr w14:paraId="70E5E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686" w:type="dxa"/>
            <w:shd w:val="clear" w:color="auto" w:fill="B8CCE4"/>
            <w:noWrap w:val="0"/>
            <w:vAlign w:val="center"/>
          </w:tcPr>
          <w:p w14:paraId="4C1D1CFD">
            <w:pPr>
              <w:spacing w:after="160" w:line="240" w:lineRule="exact"/>
              <w:rPr>
                <w:b/>
                <w:bCs/>
                <w:color w:val="1F497D"/>
                <w:sz w:val="15"/>
                <w:szCs w:val="15"/>
              </w:rPr>
            </w:pPr>
            <w:r>
              <w:rPr>
                <w:rFonts w:hAnsi="宋体"/>
                <w:b/>
                <w:bCs/>
                <w:color w:val="1F497D"/>
                <w:sz w:val="15"/>
                <w:szCs w:val="15"/>
              </w:rPr>
              <w:t>选课对象</w:t>
            </w:r>
            <w:r>
              <w:rPr>
                <w:b/>
                <w:bCs/>
                <w:color w:val="1F497D"/>
                <w:sz w:val="15"/>
                <w:szCs w:val="15"/>
              </w:rPr>
              <w:t xml:space="preserve"> Registration Recommendations</w:t>
            </w:r>
          </w:p>
        </w:tc>
        <w:tc>
          <w:tcPr>
            <w:tcW w:w="4678" w:type="dxa"/>
            <w:noWrap w:val="0"/>
            <w:vAlign w:val="center"/>
          </w:tcPr>
          <w:p w14:paraId="68A226BB">
            <w:pPr>
              <w:spacing w:after="160"/>
              <w:rPr>
                <w:color w:val="000000"/>
                <w:sz w:val="15"/>
                <w:szCs w:val="15"/>
              </w:rPr>
            </w:pPr>
            <w:r>
              <w:rPr>
                <w:rFonts w:hAnsi="宋体"/>
                <w:color w:val="000000"/>
                <w:sz w:val="15"/>
                <w:szCs w:val="15"/>
              </w:rPr>
              <w:t>外籍来华留学本科生</w:t>
            </w:r>
            <w:r>
              <w:rPr>
                <w:rFonts w:hint="eastAsia" w:hAnsi="宋体"/>
                <w:color w:val="000000"/>
                <w:sz w:val="15"/>
                <w:szCs w:val="15"/>
              </w:rPr>
              <w:t xml:space="preserve"> I</w:t>
            </w:r>
            <w:r>
              <w:rPr>
                <w:color w:val="000000"/>
                <w:sz w:val="15"/>
                <w:szCs w:val="15"/>
              </w:rPr>
              <w:t>nternational undergraduate students</w:t>
            </w:r>
          </w:p>
        </w:tc>
      </w:tr>
      <w:tr w14:paraId="7F98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686" w:type="dxa"/>
            <w:shd w:val="clear" w:color="auto" w:fill="B8CCE4"/>
            <w:noWrap w:val="0"/>
            <w:vAlign w:val="center"/>
          </w:tcPr>
          <w:p w14:paraId="68DA3D5B">
            <w:pPr>
              <w:spacing w:after="160" w:line="240" w:lineRule="exact"/>
              <w:rPr>
                <w:rFonts w:hAnsi="宋体"/>
                <w:b/>
                <w:bCs/>
                <w:color w:val="1F497D"/>
                <w:sz w:val="15"/>
                <w:szCs w:val="15"/>
              </w:rPr>
            </w:pPr>
            <w:r>
              <w:rPr>
                <w:rFonts w:hAnsi="宋体"/>
                <w:b/>
                <w:bCs/>
                <w:color w:val="1F497D"/>
                <w:sz w:val="15"/>
                <w:szCs w:val="15"/>
              </w:rPr>
              <w:t>课时与学分 Lecture Hours &amp; Credits</w:t>
            </w:r>
          </w:p>
        </w:tc>
        <w:tc>
          <w:tcPr>
            <w:tcW w:w="4678" w:type="dxa"/>
            <w:noWrap w:val="0"/>
            <w:vAlign w:val="center"/>
          </w:tcPr>
          <w:p w14:paraId="437FD8E0">
            <w:pPr>
              <w:spacing w:after="160" w:line="240" w:lineRule="exact"/>
              <w:rPr>
                <w:rFonts w:hAnsi="宋体"/>
                <w:b/>
                <w:bCs/>
                <w:color w:val="000000"/>
                <w:sz w:val="15"/>
                <w:szCs w:val="15"/>
              </w:rPr>
            </w:pPr>
            <w:r>
              <w:rPr>
                <w:rFonts w:hAnsi="宋体"/>
                <w:bCs/>
                <w:color w:val="000000"/>
                <w:sz w:val="15"/>
                <w:szCs w:val="15"/>
              </w:rPr>
              <w:t>96学时；4学分</w:t>
            </w:r>
            <w:r>
              <w:rPr>
                <w:rFonts w:hint="eastAsia" w:hAnsi="宋体"/>
                <w:b/>
                <w:bCs/>
                <w:color w:val="000000"/>
                <w:sz w:val="15"/>
                <w:szCs w:val="15"/>
              </w:rPr>
              <w:t xml:space="preserve"> </w:t>
            </w:r>
            <w:r>
              <w:rPr>
                <w:rFonts w:hint="eastAsia"/>
                <w:color w:val="000000"/>
                <w:sz w:val="15"/>
                <w:szCs w:val="15"/>
              </w:rPr>
              <w:t xml:space="preserve">96 </w:t>
            </w:r>
            <w:r>
              <w:rPr>
                <w:color w:val="000000"/>
                <w:sz w:val="15"/>
                <w:szCs w:val="15"/>
              </w:rPr>
              <w:t>Lecture Hours</w:t>
            </w:r>
            <w:r>
              <w:rPr>
                <w:rFonts w:hint="eastAsia"/>
                <w:color w:val="000000"/>
                <w:sz w:val="15"/>
                <w:szCs w:val="15"/>
              </w:rPr>
              <w:t xml:space="preserve">; 4 </w:t>
            </w:r>
            <w:r>
              <w:rPr>
                <w:color w:val="000000"/>
                <w:sz w:val="15"/>
                <w:szCs w:val="15"/>
              </w:rPr>
              <w:t>Credits</w:t>
            </w:r>
          </w:p>
        </w:tc>
      </w:tr>
      <w:tr w14:paraId="681FB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686" w:type="dxa"/>
            <w:shd w:val="clear" w:color="auto" w:fill="B8CCE4"/>
            <w:noWrap w:val="0"/>
            <w:vAlign w:val="center"/>
          </w:tcPr>
          <w:p w14:paraId="11FE00F1">
            <w:pPr>
              <w:spacing w:after="160"/>
              <w:rPr>
                <w:b/>
                <w:bCs/>
                <w:color w:val="1F497D"/>
                <w:sz w:val="15"/>
                <w:szCs w:val="15"/>
              </w:rPr>
            </w:pPr>
            <w:r>
              <w:rPr>
                <w:rFonts w:hint="eastAsia" w:hAnsi="宋体"/>
                <w:b/>
                <w:bCs/>
                <w:color w:val="1F497D"/>
                <w:sz w:val="15"/>
                <w:szCs w:val="15"/>
              </w:rPr>
              <w:t>授课语言</w:t>
            </w:r>
            <w:r>
              <w:rPr>
                <w:b/>
                <w:bCs/>
                <w:color w:val="1F497D"/>
                <w:sz w:val="15"/>
                <w:szCs w:val="15"/>
              </w:rPr>
              <w:t xml:space="preserve"> </w:t>
            </w:r>
            <w:r>
              <w:rPr>
                <w:rFonts w:hint="eastAsia"/>
                <w:b/>
                <w:bCs/>
                <w:color w:val="1F497D"/>
                <w:sz w:val="15"/>
                <w:szCs w:val="15"/>
              </w:rPr>
              <w:t>Language taught</w:t>
            </w:r>
          </w:p>
        </w:tc>
        <w:tc>
          <w:tcPr>
            <w:tcW w:w="4678" w:type="dxa"/>
            <w:noWrap w:val="0"/>
            <w:vAlign w:val="center"/>
          </w:tcPr>
          <w:p w14:paraId="7507C335">
            <w:pPr>
              <w:spacing w:after="160"/>
              <w:rPr>
                <w:color w:val="000000"/>
                <w:sz w:val="15"/>
                <w:szCs w:val="15"/>
              </w:rPr>
            </w:pPr>
            <w:r>
              <w:rPr>
                <w:rFonts w:hint="eastAsia"/>
                <w:color w:val="000000"/>
                <w:sz w:val="15"/>
                <w:szCs w:val="15"/>
              </w:rPr>
              <w:t>英语 English</w:t>
            </w:r>
          </w:p>
        </w:tc>
      </w:tr>
    </w:tbl>
    <w:p w14:paraId="45B94497">
      <w:pPr>
        <w:spacing w:before="100" w:beforeAutospacing="1" w:after="100" w:afterAutospacing="1"/>
        <w:rPr>
          <w:rFonts w:hint="eastAsia" w:hAnsi="宋体"/>
          <w:b/>
          <w:bCs/>
          <w:color w:val="000080"/>
          <w:sz w:val="24"/>
          <w:szCs w:val="24"/>
        </w:rPr>
      </w:pPr>
      <w:r>
        <w:rPr>
          <w:rFonts w:hint="eastAsia" w:hAnsi="宋体"/>
          <w:b/>
          <w:bCs/>
          <w:color w:val="000080"/>
          <w:sz w:val="24"/>
          <w:szCs w:val="24"/>
        </w:rPr>
        <w:t xml:space="preserve">基本信息 </w:t>
      </w:r>
      <w:r>
        <w:rPr>
          <w:rFonts w:hAnsi="宋体"/>
          <w:b/>
          <w:bCs/>
          <w:color w:val="000080"/>
          <w:sz w:val="24"/>
          <w:szCs w:val="24"/>
        </w:rPr>
        <w:t>Basic information</w:t>
      </w:r>
    </w:p>
    <w:p w14:paraId="130C689F">
      <w:pPr>
        <w:spacing w:after="160"/>
        <w:rPr>
          <w:rFonts w:hint="eastAsia" w:hAnsi="宋体"/>
          <w:b/>
          <w:bCs/>
          <w:color w:val="000080"/>
          <w:sz w:val="28"/>
          <w:szCs w:val="28"/>
        </w:rPr>
      </w:pPr>
    </w:p>
    <w:p w14:paraId="21B758ED">
      <w:pPr>
        <w:spacing w:before="100" w:beforeAutospacing="1" w:after="100" w:afterAutospacing="1"/>
        <w:rPr>
          <w:rFonts w:hint="eastAsia" w:hAnsi="宋体"/>
          <w:b/>
          <w:bCs/>
          <w:color w:val="000080"/>
          <w:sz w:val="24"/>
          <w:szCs w:val="24"/>
        </w:rPr>
      </w:pPr>
      <w:r>
        <w:rPr>
          <w:rFonts w:hAnsi="宋体"/>
          <w:b/>
          <w:bCs/>
          <w:color w:val="000080"/>
          <w:sz w:val="28"/>
          <w:szCs w:val="28"/>
        </w:rPr>
        <w:br w:type="page"/>
      </w:r>
      <w:r>
        <w:rPr>
          <w:rFonts w:hAnsi="宋体"/>
          <w:b/>
          <w:bCs/>
          <w:color w:val="000080"/>
          <w:sz w:val="24"/>
          <w:szCs w:val="24"/>
        </w:rPr>
        <w:t>课程目标</w:t>
      </w:r>
    </w:p>
    <w:p w14:paraId="56CAC08B">
      <w:pPr>
        <w:ind w:firstLine="360" w:firstLineChars="200"/>
        <w:rPr>
          <w:sz w:val="18"/>
          <w:szCs w:val="18"/>
        </w:rPr>
      </w:pPr>
      <w:r>
        <w:rPr>
          <w:rFonts w:hAnsi="宋体"/>
          <w:color w:val="000000"/>
          <w:sz w:val="18"/>
          <w:szCs w:val="18"/>
        </w:rPr>
        <w:t>系统解剖学是医学生最重要的医学基础课程之一，</w:t>
      </w:r>
      <w:r>
        <w:rPr>
          <w:rFonts w:hint="eastAsia" w:hAnsi="宋体"/>
          <w:color w:val="000000"/>
          <w:sz w:val="18"/>
          <w:szCs w:val="18"/>
        </w:rPr>
        <w:t>通过对本门课程的学习</w:t>
      </w:r>
      <w:r>
        <w:rPr>
          <w:rFonts w:hAnsi="宋体"/>
          <w:color w:val="000000"/>
          <w:sz w:val="18"/>
          <w:szCs w:val="18"/>
        </w:rPr>
        <w:t>使学生掌握系统解剖学的基本理论，基本知识，基本技能，正确使用解剖学术语。更重要的是培养学生自我学习，观察问题、分析问题和解剖实际问题的能力。为将其培养成为一个合格的医生奠定良好的基础。</w:t>
      </w:r>
      <w:r>
        <w:rPr>
          <w:rFonts w:hAnsi="宋体"/>
          <w:color w:val="FF0000"/>
          <w:sz w:val="18"/>
          <w:szCs w:val="18"/>
        </w:rPr>
        <w:t>（</w:t>
      </w:r>
      <w:r>
        <w:rPr>
          <w:rFonts w:hint="eastAsia" w:hAnsi="宋体"/>
          <w:color w:val="FF0000"/>
          <w:sz w:val="18"/>
          <w:szCs w:val="18"/>
        </w:rPr>
        <w:t>学生在学习完本课程后应具备的主要能力。</w:t>
      </w:r>
      <w:r>
        <w:rPr>
          <w:rFonts w:hAnsi="宋体"/>
          <w:color w:val="FF0000"/>
          <w:sz w:val="18"/>
          <w:szCs w:val="18"/>
        </w:rPr>
        <w:t>字数要求：不少</w:t>
      </w:r>
      <w:r>
        <w:rPr>
          <w:rFonts w:hint="eastAsia" w:hAnsi="宋体"/>
          <w:color w:val="FF0000"/>
          <w:sz w:val="18"/>
          <w:szCs w:val="18"/>
        </w:rPr>
        <w:t>于100字，不超过200字。</w:t>
      </w:r>
      <w:r>
        <w:rPr>
          <w:rFonts w:hAnsi="宋体"/>
          <w:color w:val="FF0000"/>
          <w:sz w:val="18"/>
          <w:szCs w:val="18"/>
        </w:rPr>
        <w:t>）</w:t>
      </w:r>
    </w:p>
    <w:p w14:paraId="63FEB3B9">
      <w:pPr>
        <w:spacing w:before="100" w:beforeAutospacing="1" w:after="100" w:afterAutospacing="1"/>
        <w:rPr>
          <w:b/>
          <w:bCs/>
          <w:color w:val="000080"/>
          <w:sz w:val="24"/>
          <w:szCs w:val="24"/>
        </w:rPr>
      </w:pPr>
      <w:r>
        <w:rPr>
          <w:b/>
          <w:bCs/>
          <w:color w:val="000080"/>
          <w:sz w:val="24"/>
          <w:szCs w:val="24"/>
        </w:rPr>
        <w:t>Learning Goals</w:t>
      </w:r>
    </w:p>
    <w:p w14:paraId="7152E77F">
      <w:pPr>
        <w:spacing w:after="160"/>
        <w:ind w:firstLine="360" w:firstLineChars="200"/>
        <w:rPr>
          <w:rFonts w:hint="eastAsia"/>
          <w:color w:val="000000"/>
          <w:kern w:val="0"/>
          <w:sz w:val="18"/>
          <w:szCs w:val="18"/>
        </w:rPr>
      </w:pPr>
      <w:bookmarkStart w:id="4" w:name="OLE_LINK3"/>
      <w:r>
        <w:rPr>
          <w:color w:val="000000"/>
          <w:sz w:val="18"/>
          <w:szCs w:val="18"/>
        </w:rPr>
        <w:t>This course is designed to help students develop policy analysis skills and acquire knowledge about the implications of comparative and international education research for policy analysis. Specifically the course will: 1. Familiarize course participants with the field of comparative and international education and with contemporary global education challenges and policy alternatives to improve education internationally. 2. Develop an understanding of the process of policy formation, and of methodologies to assess education needs and to formulate policy priorities. 3. Develop course participants’ skills to draw policy implications from comparative educational research on school purposes and curriculum, teacher quality, school leadership and system reform.</w:t>
      </w:r>
    </w:p>
    <w:bookmarkEnd w:id="4"/>
    <w:p w14:paraId="2F0A284B">
      <w:pPr>
        <w:spacing w:before="100" w:beforeAutospacing="1" w:after="100" w:afterAutospacing="1"/>
        <w:rPr>
          <w:rFonts w:hint="eastAsia" w:ascii="仿宋_GB2312" w:hAnsi="宋体" w:eastAsia="仿宋_GB2312" w:cs="宋体"/>
          <w:kern w:val="0"/>
          <w:sz w:val="24"/>
          <w:szCs w:val="24"/>
        </w:rPr>
      </w:pPr>
      <w:r>
        <w:rPr>
          <w:rFonts w:hint="eastAsia" w:hAnsi="宋体"/>
          <w:b/>
          <w:bCs/>
          <w:color w:val="000080"/>
          <w:sz w:val="24"/>
          <w:szCs w:val="24"/>
        </w:rPr>
        <w:t>课程内容</w:t>
      </w:r>
    </w:p>
    <w:p w14:paraId="160D36A5">
      <w:pPr>
        <w:ind w:firstLine="360" w:firstLineChars="200"/>
        <w:rPr>
          <w:color w:val="FF0000"/>
          <w:sz w:val="18"/>
          <w:szCs w:val="18"/>
        </w:rPr>
      </w:pPr>
      <w:r>
        <w:rPr>
          <w:rFonts w:hint="eastAsia" w:hAnsi="宋体"/>
          <w:color w:val="000000"/>
          <w:sz w:val="18"/>
          <w:szCs w:val="18"/>
        </w:rPr>
        <w:t>九个系统共分为32个模块分别讲授。内容如下：系统解剖学绪论，骨学与骨连接总论，躯干骨；躯干骨的连接，颅骨及其连接；上肢骨及其连接；下肢骨及其连接肌学总论，头肌，颈肌和躯干肌躯干肌和上肢肌；上肢肌和下肢肌；内脏学总论和消化系统呼吸系统；泌尿系统和男性生殖系统；男性和女性生殖系统；脉管学总论和心脏（1）；心脏（2）和动脉（1）；动脉（2）；静脉；淋巴；感觉器官-视器；感觉器官-前庭蜗器；神经系统总论，周围神经脊神经，颈丛和臂丛 ；胸神经前支，腰丛神经与骶丛神经；脑神经 (1)；脑神经(2)；自主神经系统(交感神经系统)；自主神经系统 (副交感神经系统)；脊髓（1）；脊髓（2）与脑干外形；脑干内部结构；脑干与小脑；小脑与间脑；间脑与端脑；端脑与感觉传导路；运动传导路，脑和脊髓的被膜，血管，脑脊液循环机内分泌系统。</w:t>
      </w:r>
      <w:r>
        <w:rPr>
          <w:rFonts w:hAnsi="宋体"/>
          <w:color w:val="FF0000"/>
          <w:sz w:val="18"/>
          <w:szCs w:val="18"/>
        </w:rPr>
        <w:t>（本部分</w:t>
      </w:r>
      <w:r>
        <w:rPr>
          <w:rFonts w:hint="eastAsia" w:hAnsi="宋体"/>
          <w:color w:val="FF0000"/>
          <w:sz w:val="18"/>
          <w:szCs w:val="18"/>
        </w:rPr>
        <w:t>介绍课程的主要内容。</w:t>
      </w:r>
      <w:r>
        <w:rPr>
          <w:rFonts w:hAnsi="宋体"/>
          <w:color w:val="FF0000"/>
          <w:sz w:val="18"/>
          <w:szCs w:val="18"/>
        </w:rPr>
        <w:t>字数要求：不少</w:t>
      </w:r>
      <w:r>
        <w:rPr>
          <w:rFonts w:hint="eastAsia" w:hAnsi="宋体"/>
          <w:color w:val="FF0000"/>
          <w:sz w:val="18"/>
          <w:szCs w:val="18"/>
        </w:rPr>
        <w:t>于150字，不超过400字。</w:t>
      </w:r>
      <w:r>
        <w:rPr>
          <w:rFonts w:hAnsi="宋体"/>
          <w:color w:val="FF0000"/>
          <w:sz w:val="18"/>
          <w:szCs w:val="18"/>
        </w:rPr>
        <w:t>）</w:t>
      </w:r>
    </w:p>
    <w:p w14:paraId="05AAF345">
      <w:pPr>
        <w:spacing w:before="100" w:beforeAutospacing="1" w:after="100" w:afterAutospacing="1"/>
        <w:jc w:val="left"/>
        <w:rPr>
          <w:rFonts w:hint="eastAsia" w:hAnsi="宋体"/>
          <w:b/>
          <w:bCs/>
          <w:color w:val="000080"/>
          <w:sz w:val="24"/>
          <w:szCs w:val="24"/>
        </w:rPr>
      </w:pPr>
      <w:r>
        <w:rPr>
          <w:rFonts w:hint="eastAsia" w:hAnsi="宋体"/>
          <w:b/>
          <w:bCs/>
          <w:color w:val="000080"/>
          <w:sz w:val="24"/>
          <w:szCs w:val="24"/>
        </w:rPr>
        <w:t>Content</w:t>
      </w:r>
    </w:p>
    <w:p w14:paraId="3ACF5097">
      <w:pPr>
        <w:spacing w:after="160"/>
        <w:ind w:firstLine="360" w:firstLineChars="200"/>
        <w:rPr>
          <w:rFonts w:ascii="仿宋" w:hAnsi="仿宋" w:eastAsia="仿宋"/>
          <w:sz w:val="24"/>
          <w:szCs w:val="24"/>
        </w:rPr>
      </w:pPr>
      <w:r>
        <w:rPr>
          <w:color w:val="000000"/>
          <w:sz w:val="18"/>
          <w:szCs w:val="18"/>
        </w:rPr>
        <w:t>Introduction to Systematic Anatomy, General Theory of Osteology and Bone Connections, Trunk Bones; Connections of Trunk Bone, Skulls and Their Connections; Upper Bone and Their Connections; Lower Bone Bone and Their Connections to Muscles, Head and Neck Muscle and trunk muscles trunk and upper limb muscles; upper and lower limb muscles; general viscera and digestive system respiratory system; urinary system and male reproductive system; male and female reproductive system; general vascular studies and heart (1); Heart (2) and arteries (1); Arteries (2); Veins; Lymphoid; Sensory Organs - Vision; Sensory Organs - Vestibular Spondital; General Nervous System, Peripheral Nerve Spinal Nerves, Cervical Plexus and Brachial Plexus; Thoracic Nerve Anterior Branch, lumbar plexus and sacral plexus; cranial nerve (1); cranial nerve (2); autonomic nervous system (sympathetic nervous system); autonomic nervous system (parasympathetic nervous system); spinal cord (1); spinal cord (2) Brain stem shape; brain stem internal structure; brain stem and cerebellum; cerebellum and diencephalon; diencephalon and telencephalon; telencephalon and sensory conduction pathway; motor conduction pathway, brain and spinal cord envelope, blood vessel, cerebrospinal fluid circulation endocrine system.</w:t>
      </w:r>
    </w:p>
    <w:p w14:paraId="198A9AFC"/>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roman"/>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77AF0">
    <w:pPr>
      <w:pStyle w:val="2"/>
      <w:jc w:val="right"/>
    </w:pPr>
    <w:r>
      <w:fldChar w:fldCharType="begin"/>
    </w:r>
    <w:r>
      <w:instrText xml:space="preserve"> PAGE   \* MERGEFORMAT </w:instrText>
    </w:r>
    <w:r>
      <w:fldChar w:fldCharType="separate"/>
    </w:r>
    <w:r>
      <w:rPr>
        <w:lang w:val="zh-CN"/>
      </w:rPr>
      <w:t>1</w:t>
    </w:r>
    <w:r>
      <w:fldChar w:fldCharType="end"/>
    </w:r>
  </w:p>
  <w:p w14:paraId="7C1989A4">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33B8B9"/>
    <w:multiLevelType w:val="singleLevel"/>
    <w:tmpl w:val="5533B8B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B81E07"/>
    <w:rsid w:val="01543A99"/>
    <w:rsid w:val="05BF0DFE"/>
    <w:rsid w:val="0DF83BF5"/>
    <w:rsid w:val="50B81E07"/>
    <w:rsid w:val="69E3037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711</Words>
  <Characters>1418</Characters>
  <Lines>0</Lines>
  <Paragraphs>0</Paragraphs>
  <TotalTime>11</TotalTime>
  <ScaleCrop>false</ScaleCrop>
  <LinksUpToDate>false</LinksUpToDate>
  <CharactersWithSpaces>1548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2020-12-29T08:40:00Z</dcterms:created>
  <dc:creator>田华</dc:creator>
  <cp:lastModifiedBy>陈紫怡</cp:lastModifiedBy>
  <dcterms:modified xsi:type="dcterms:W3CDTF">2025-06-27T07:41:03Z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eyJoZGlkIjoiM2QzMTM1ZGNhNzc1NjBhZjUzYzdiZGI5ZGZmZTk2NGYifQ==</vt:lpwstr>
  </property>
  <property fmtid="{D5CDD505-2E9C-101B-9397-08002B2CF9AE}" pid="4" name="ICV">
    <vt:lpwstr>BC447266DF3E4839826ED3B22DCD2AED_13</vt:lpwstr>
  </property>
</Properties>
</file>