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705420" w14:textId="77777777" w:rsidR="00106089" w:rsidRDefault="00AA2BFB">
      <w:pPr>
        <w:pStyle w:val="Title"/>
        <w:spacing w:after="140"/>
      </w:pPr>
      <w:r>
        <w:t>Simulated work</w:t>
      </w:r>
    </w:p>
    <w:p w14:paraId="67584AF4" w14:textId="77777777" w:rsidR="00106089" w:rsidRDefault="00AA2BFB">
      <w:r>
        <w:t>Beyond the Productive Volunteer: Community Gardening, Citizenship and Conditional Inclusion in Milwaukee and Glasgow</w:t>
      </w:r>
    </w:p>
    <w:p w14:paraId="41407218" w14:textId="77777777" w:rsidR="00106089" w:rsidRDefault="00AA2BFB">
      <w:pPr>
        <w:spacing w:after="65" w:line="235" w:lineRule="auto"/>
      </w:pPr>
      <w:r>
        <w:rPr>
          <w:b/>
          <w:bCs/>
          <w:sz w:val="20"/>
          <w:szCs w:val="20"/>
        </w:rPr>
        <w:t xml:space="preserve">Variant and strategy: </w:t>
      </w:r>
      <w:r>
        <w:rPr>
          <w:sz w:val="20"/>
          <w:szCs w:val="20"/>
        </w:rPr>
        <w:t>V3 · creative but defensible extension</w:t>
      </w:r>
    </w:p>
    <w:p w14:paraId="6065DB6F" w14:textId="77777777" w:rsidR="00106089" w:rsidRDefault="00AA2BFB">
      <w:pPr>
        <w:spacing w:after="65" w:line="235" w:lineRule="auto"/>
      </w:pPr>
      <w:r>
        <w:rPr>
          <w:b/>
          <w:bCs/>
          <w:sz w:val="20"/>
          <w:szCs w:val="20"/>
        </w:rPr>
        <w:t xml:space="preserve">Selected versions: </w:t>
      </w:r>
      <w:r>
        <w:rPr>
          <w:sz w:val="20"/>
          <w:szCs w:val="20"/>
        </w:rPr>
        <w:t>V2, V3</w:t>
      </w:r>
    </w:p>
    <w:p w14:paraId="3EA00D90" w14:textId="77777777" w:rsidR="00106089" w:rsidRDefault="00AA2BFB">
      <w:pPr>
        <w:spacing w:after="65" w:line="235" w:lineRule="auto"/>
      </w:pPr>
      <w:r>
        <w:rPr>
          <w:b/>
          <w:bCs/>
          <w:sz w:val="20"/>
          <w:szCs w:val="20"/>
        </w:rPr>
        <w:t xml:space="preserve">Generated at: </w:t>
      </w:r>
      <w:r>
        <w:rPr>
          <w:sz w:val="20"/>
          <w:szCs w:val="20"/>
        </w:rPr>
        <w:t>2026-09-20T11:21:20.674Z</w:t>
      </w:r>
    </w:p>
    <w:p w14:paraId="1D3517CB" w14:textId="77777777" w:rsidR="00106089" w:rsidRDefault="00AA2BFB">
      <w:pPr>
        <w:spacing w:after="65" w:line="235" w:lineRule="auto"/>
      </w:pPr>
      <w:r>
        <w:rPr>
          <w:b/>
          <w:bCs/>
          <w:sz w:val="20"/>
          <w:szCs w:val="20"/>
        </w:rPr>
        <w:t xml:space="preserve">Course or project: </w:t>
      </w:r>
      <w:r>
        <w:rPr>
          <w:sz w:val="20"/>
          <w:szCs w:val="20"/>
        </w:rPr>
        <w:t>Cultural anthropology · BA3 illustrative example</w:t>
      </w:r>
    </w:p>
    <w:p w14:paraId="18DE8F5B" w14:textId="77777777" w:rsidR="00106089" w:rsidRDefault="00AA2BFB">
      <w:pPr>
        <w:spacing w:after="65" w:line="235" w:lineRule="auto"/>
      </w:pPr>
      <w:r>
        <w:rPr>
          <w:b/>
          <w:bCs/>
          <w:sz w:val="20"/>
          <w:szCs w:val="20"/>
        </w:rPr>
        <w:t xml:space="preserve">Academic level / competence: </w:t>
      </w:r>
      <w:r>
        <w:rPr>
          <w:sz w:val="20"/>
          <w:szCs w:val="20"/>
        </w:rPr>
        <w:t>Final-year bachelor / Best achievable work</w:t>
      </w:r>
    </w:p>
    <w:p w14:paraId="2D2E49E9" w14:textId="77777777" w:rsidR="00106089" w:rsidRDefault="00AA2BFB">
      <w:pPr>
        <w:spacing w:after="65" w:line="235" w:lineRule="auto"/>
      </w:pPr>
      <w:r>
        <w:rPr>
          <w:b/>
          <w:bCs/>
          <w:sz w:val="20"/>
          <w:szCs w:val="20"/>
        </w:rPr>
        <w:t xml:space="preserve">Target length / language / genre: </w:t>
      </w:r>
      <w:r>
        <w:rPr>
          <w:sz w:val="20"/>
          <w:szCs w:val="20"/>
        </w:rPr>
        <w:t>1800–2200 / English / Essay</w:t>
      </w:r>
    </w:p>
    <w:p w14:paraId="63D63DCB" w14:textId="77777777" w:rsidR="00106089" w:rsidRDefault="00AA2BFB">
      <w:pPr>
        <w:spacing w:after="65" w:line="235" w:lineRule="auto"/>
      </w:pPr>
      <w:r>
        <w:rPr>
          <w:b/>
          <w:bCs/>
          <w:sz w:val="20"/>
          <w:szCs w:val="20"/>
        </w:rPr>
        <w:t xml:space="preserve">Citation style / source policy: </w:t>
      </w:r>
      <w:r>
        <w:rPr>
          <w:sz w:val="20"/>
          <w:szCs w:val="20"/>
        </w:rPr>
        <w:t>APA 7 / External retrieval</w:t>
      </w:r>
    </w:p>
    <w:p w14:paraId="2D0D7FE5" w14:textId="77777777" w:rsidR="00106089" w:rsidRDefault="00AA2BFB">
      <w:pPr>
        <w:spacing w:after="65" w:line="235" w:lineRule="auto"/>
      </w:pPr>
      <w:r>
        <w:rPr>
          <w:b/>
          <w:bCs/>
          <w:sz w:val="20"/>
          <w:szCs w:val="20"/>
        </w:rPr>
        <w:t xml:space="preserve">Sources: </w:t>
      </w:r>
      <w:r>
        <w:rPr>
          <w:sz w:val="20"/>
          <w:szCs w:val="20"/>
        </w:rPr>
        <w:t>0 provided; titles and full text in settings appendix</w:t>
      </w:r>
    </w:p>
    <w:p w14:paraId="79F04449" w14:textId="77777777" w:rsidR="00106089" w:rsidRDefault="00AA2BFB">
      <w:pPr>
        <w:spacing w:after="65" w:line="235" w:lineRule="auto"/>
      </w:pPr>
      <w:r>
        <w:rPr>
          <w:b/>
          <w:bCs/>
          <w:sz w:val="20"/>
          <w:szCs w:val="20"/>
        </w:rPr>
        <w:t xml:space="preserve">Assignment / marking criteria / outcomes: </w:t>
      </w:r>
      <w:r>
        <w:rPr>
          <w:sz w:val="20"/>
          <w:szCs w:val="20"/>
        </w:rPr>
        <w:t>Provided / Provided / Provided — see settings appendix</w:t>
      </w:r>
    </w:p>
    <w:p w14:paraId="1178AB65" w14:textId="77777777" w:rsidR="00106089" w:rsidRDefault="00AA2BFB">
      <w:pPr>
        <w:spacing w:after="65" w:line="235" w:lineRule="auto"/>
      </w:pPr>
      <w:r>
        <w:rPr>
          <w:b/>
          <w:bCs/>
          <w:sz w:val="20"/>
          <w:szCs w:val="20"/>
        </w:rPr>
        <w:t xml:space="preserve">Formatting instructions: </w:t>
      </w:r>
      <w:r>
        <w:rPr>
          <w:sz w:val="20"/>
          <w:szCs w:val="20"/>
        </w:rPr>
        <w:t>Provided — full text in settings appendix</w:t>
      </w:r>
    </w:p>
    <w:p w14:paraId="5D53F35E" w14:textId="77777777" w:rsidR="00106089" w:rsidRDefault="00AA2BFB">
      <w:pPr>
        <w:spacing w:after="65" w:line="235" w:lineRule="auto"/>
      </w:pPr>
      <w:r>
        <w:rPr>
          <w:b/>
          <w:bCs/>
          <w:sz w:val="20"/>
          <w:szCs w:val="20"/>
        </w:rPr>
        <w:t xml:space="preserve">Expectations for simulated work: </w:t>
      </w:r>
      <w:r>
        <w:rPr>
          <w:sz w:val="20"/>
          <w:szCs w:val="20"/>
        </w:rPr>
        <w:t>Provided — full text in settings appendix</w:t>
      </w:r>
    </w:p>
    <w:p w14:paraId="78AC4765" w14:textId="77777777" w:rsidR="00106089" w:rsidRDefault="00AA2BFB">
      <w:pPr>
        <w:spacing w:after="65" w:line="235" w:lineRule="auto"/>
      </w:pPr>
      <w:r>
        <w:rPr>
          <w:b/>
          <w:bCs/>
          <w:sz w:val="20"/>
          <w:szCs w:val="20"/>
        </w:rPr>
        <w:t xml:space="preserve">Model preset / reasoning: </w:t>
      </w:r>
      <w:r>
        <w:rPr>
          <w:sz w:val="20"/>
          <w:szCs w:val="20"/>
        </w:rPr>
        <w:t>Astra · high / high</w:t>
      </w:r>
    </w:p>
    <w:p w14:paraId="043BDD43" w14:textId="77777777" w:rsidR="00106089" w:rsidRDefault="00AA2BFB">
      <w:pPr>
        <w:spacing w:after="65" w:line="235" w:lineRule="auto"/>
      </w:pPr>
      <w:r>
        <w:rPr>
          <w:b/>
          <w:bCs/>
          <w:sz w:val="20"/>
          <w:szCs w:val="20"/>
        </w:rPr>
        <w:t xml:space="preserve">Requested model: </w:t>
      </w:r>
      <w:r>
        <w:rPr>
          <w:sz w:val="20"/>
          <w:szCs w:val="20"/>
        </w:rPr>
        <w:t>gpt-6-astra</w:t>
      </w:r>
    </w:p>
    <w:p w14:paraId="07A418A7" w14:textId="77777777" w:rsidR="00106089" w:rsidRDefault="00AA2BFB">
      <w:pPr>
        <w:spacing w:after="65" w:line="235" w:lineRule="auto"/>
      </w:pPr>
      <w:r>
        <w:rPr>
          <w:b/>
          <w:bCs/>
          <w:sz w:val="20"/>
          <w:szCs w:val="20"/>
        </w:rPr>
        <w:t xml:space="preserve">Model returned by API: </w:t>
      </w:r>
      <w:r>
        <w:rPr>
          <w:sz w:val="20"/>
          <w:szCs w:val="20"/>
        </w:rPr>
        <w:t>gpt-6-astra</w:t>
      </w:r>
    </w:p>
    <w:p w14:paraId="3D5272D2" w14:textId="77777777" w:rsidR="00106089" w:rsidRDefault="00AA2BFB">
      <w:pPr>
        <w:spacing w:after="65" w:line="235" w:lineRule="auto"/>
      </w:pPr>
      <w:r>
        <w:rPr>
          <w:b/>
          <w:bCs/>
          <w:sz w:val="20"/>
          <w:szCs w:val="20"/>
        </w:rPr>
        <w:t xml:space="preserve">Model snapshot date: </w:t>
      </w:r>
      <w:r>
        <w:rPr>
          <w:sz w:val="20"/>
          <w:szCs w:val="20"/>
        </w:rPr>
        <w:t>Not exposed in the returned model ID</w:t>
      </w:r>
    </w:p>
    <w:p w14:paraId="1F0BA5F4" w14:textId="77777777" w:rsidR="00106089" w:rsidRDefault="00AA2BFB">
      <w:pPr>
        <w:spacing w:after="65" w:line="235" w:lineRule="auto"/>
      </w:pPr>
      <w:r>
        <w:rPr>
          <w:b/>
          <w:bCs/>
          <w:sz w:val="20"/>
          <w:szCs w:val="20"/>
        </w:rPr>
        <w:t xml:space="preserve">Web / temperature / service tier: </w:t>
      </w:r>
      <w:r>
        <w:rPr>
          <w:sz w:val="20"/>
          <w:szCs w:val="20"/>
        </w:rPr>
        <w:t>on / not sent / default</w:t>
      </w:r>
    </w:p>
    <w:p w14:paraId="1CEA35F1" w14:textId="77777777" w:rsidR="00106089" w:rsidRDefault="00AA2BFB">
      <w:pPr>
        <w:spacing w:after="65" w:line="235" w:lineRule="auto"/>
      </w:pPr>
      <w:r>
        <w:rPr>
          <w:b/>
          <w:bCs/>
          <w:sz w:val="20"/>
          <w:szCs w:val="20"/>
        </w:rPr>
        <w:t xml:space="preserve">Authorization / funding: </w:t>
      </w:r>
      <w:r>
        <w:rPr>
          <w:sz w:val="20"/>
          <w:szCs w:val="20"/>
        </w:rPr>
        <w:t>Authorized educator test / Owner-funded API</w:t>
      </w:r>
    </w:p>
    <w:p w14:paraId="60243025" w14:textId="77777777" w:rsidR="00106089" w:rsidRDefault="00AA2BFB">
      <w:pPr>
        <w:spacing w:after="65" w:line="235" w:lineRule="auto"/>
      </w:pPr>
      <w:r>
        <w:rPr>
          <w:b/>
          <w:bCs/>
          <w:sz w:val="20"/>
          <w:szCs w:val="20"/>
        </w:rPr>
        <w:t xml:space="preserve">Input tokens: </w:t>
      </w:r>
      <w:r>
        <w:rPr>
          <w:sz w:val="20"/>
          <w:szCs w:val="20"/>
        </w:rPr>
        <w:t>120,167 (cached: 0; cache writes: 7,261)</w:t>
      </w:r>
    </w:p>
    <w:p w14:paraId="6757F439" w14:textId="77777777" w:rsidR="00106089" w:rsidRDefault="00AA2BFB">
      <w:pPr>
        <w:spacing w:after="65" w:line="235" w:lineRule="auto"/>
      </w:pPr>
      <w:r>
        <w:rPr>
          <w:b/>
          <w:bCs/>
          <w:sz w:val="20"/>
          <w:szCs w:val="20"/>
        </w:rPr>
        <w:t xml:space="preserve">Output tokens: </w:t>
      </w:r>
      <w:r>
        <w:rPr>
          <w:sz w:val="20"/>
          <w:szCs w:val="20"/>
        </w:rPr>
        <w:t>13,524 (includes reasoning: 7,165)</w:t>
      </w:r>
    </w:p>
    <w:p w14:paraId="3441276B" w14:textId="77777777" w:rsidR="00106089" w:rsidRDefault="00AA2BFB">
      <w:pPr>
        <w:spacing w:after="65" w:line="235" w:lineRule="auto"/>
      </w:pPr>
      <w:r>
        <w:rPr>
          <w:b/>
          <w:bCs/>
          <w:sz w:val="20"/>
          <w:szCs w:val="20"/>
        </w:rPr>
        <w:t xml:space="preserve">Total tokens / web-search calls: </w:t>
      </w:r>
      <w:r>
        <w:rPr>
          <w:sz w:val="20"/>
          <w:szCs w:val="20"/>
        </w:rPr>
        <w:t>133,691 / 13</w:t>
      </w:r>
    </w:p>
    <w:p w14:paraId="4291FF40" w14:textId="77777777" w:rsidR="00106089" w:rsidRDefault="00AA2BFB">
      <w:pPr>
        <w:spacing w:after="65" w:line="235" w:lineRule="auto"/>
      </w:pPr>
      <w:r>
        <w:rPr>
          <w:b/>
          <w:bCs/>
          <w:sz w:val="20"/>
          <w:szCs w:val="20"/>
        </w:rPr>
        <w:t xml:space="preserve">Estimated cost for this variant: </w:t>
      </w:r>
      <w:r>
        <w:rPr>
          <w:sz w:val="20"/>
          <w:szCs w:val="20"/>
        </w:rPr>
        <w:t>$2.0260 USD</w:t>
      </w:r>
    </w:p>
    <w:p w14:paraId="75FA09BF" w14:textId="77777777" w:rsidR="00106089" w:rsidRDefault="00AA2BFB">
      <w:pPr>
        <w:spacing w:before="80" w:after="40" w:line="220" w:lineRule="auto"/>
      </w:pPr>
      <w:r>
        <w:rPr>
          <w:color w:val="444444"/>
          <w:sz w:val="18"/>
          <w:szCs w:val="18"/>
        </w:rPr>
        <w:t>One variant: full input, simulated work, AI Teacher Review, reasoning and reported web-search calls. Excludes other variants, failed attempts, tax and account-specific discounts. Indicative API cost, not a ChatGPT subscription charge or a candidate-only student price.</w:t>
      </w:r>
    </w:p>
    <w:p w14:paraId="1454D9E1" w14:textId="77777777" w:rsidR="00106089" w:rsidRDefault="00AA2BFB">
      <w:pPr>
        <w:spacing w:before="80" w:after="40" w:line="220" w:lineRule="auto"/>
      </w:pPr>
      <w:r>
        <w:rPr>
          <w:color w:val="444444"/>
          <w:sz w:val="18"/>
          <w:szCs w:val="18"/>
        </w:rPr>
        <w:t>Search content is billed at input rates; this estimate uses the returned input-token usage and adds reported tool-call fees.</w:t>
      </w:r>
    </w:p>
    <w:p w14:paraId="16373906" w14:textId="77777777" w:rsidR="00106089" w:rsidRDefault="00AA2BFB">
      <w:pPr>
        <w:spacing w:before="80" w:after="40" w:line="220" w:lineRule="auto"/>
      </w:pPr>
      <w:r>
        <w:rPr>
          <w:color w:val="444444"/>
          <w:sz w:val="18"/>
          <w:szCs w:val="18"/>
        </w:rPr>
        <w:t>Price snapshot: 2026-09-16. https://developers.openai.com/api/docs/pricing</w:t>
      </w:r>
    </w:p>
    <w:p w14:paraId="5F935C11" w14:textId="77777777" w:rsidR="00106089" w:rsidRDefault="00AA2BFB">
      <w:pPr>
        <w:pageBreakBefore/>
        <w:spacing w:before="240" w:after="200"/>
      </w:pPr>
      <w:r>
        <w:lastRenderedPageBreak/>
        <w:t>Contents</w:t>
      </w:r>
    </w:p>
    <w:p w14:paraId="333FDD8E" w14:textId="77777777" w:rsidR="00106089" w:rsidRDefault="00AA2BFB">
      <w:pPr>
        <w:spacing w:after="120"/>
      </w:pPr>
      <w:hyperlink w:anchor="section_1" w:history="1">
        <w:r>
          <w:t>1  Participation beyond attendance</w:t>
        </w:r>
      </w:hyperlink>
    </w:p>
    <w:p w14:paraId="34236136" w14:textId="77777777" w:rsidR="00106089" w:rsidRDefault="00AA2BFB">
      <w:pPr>
        <w:spacing w:after="120"/>
      </w:pPr>
      <w:hyperlink w:anchor="section_2" w:history="1">
        <w:r>
          <w:t>2  Published findings: Conditional access in Milwaukee</w:t>
        </w:r>
      </w:hyperlink>
    </w:p>
    <w:p w14:paraId="4C55192D" w14:textId="77777777" w:rsidR="00106089" w:rsidRDefault="00AA2BFB">
      <w:pPr>
        <w:spacing w:after="120"/>
      </w:pPr>
      <w:hyperlink w:anchor="section_3" w:history="1">
        <w:r>
          <w:t>3  Published findings: Collective capacities in Glasgow</w:t>
        </w:r>
      </w:hyperlink>
    </w:p>
    <w:p w14:paraId="77B3B4E7" w14:textId="77777777" w:rsidR="00106089" w:rsidRDefault="00AA2BFB">
      <w:pPr>
        <w:spacing w:after="120"/>
      </w:pPr>
      <w:hyperlink w:anchor="section_4" w:history="1">
        <w:r>
          <w:t>4  Comparative interpretation: Who controls the obligations of belonging?</w:t>
        </w:r>
      </w:hyperlink>
    </w:p>
    <w:p w14:paraId="442FEECA" w14:textId="77777777" w:rsidR="00106089" w:rsidRDefault="00AA2BFB">
      <w:pPr>
        <w:spacing w:after="120"/>
      </w:pPr>
      <w:hyperlink w:anchor="section_5" w:history="1">
        <w:r>
          <w:t>5  Positionality and the limits of comparison</w:t>
        </w:r>
      </w:hyperlink>
    </w:p>
    <w:p w14:paraId="7DE8925F" w14:textId="77777777" w:rsidR="00106089" w:rsidRDefault="00AA2BFB">
      <w:pPr>
        <w:spacing w:after="120"/>
      </w:pPr>
      <w:hyperlink w:anchor="section_6" w:history="1">
        <w:r>
          <w:t>6  Future research: An ethical question and method</w:t>
        </w:r>
      </w:hyperlink>
    </w:p>
    <w:p w14:paraId="5E44424B" w14:textId="77777777" w:rsidR="00106089" w:rsidRDefault="00AA2BFB">
      <w:pPr>
        <w:spacing w:after="120"/>
      </w:pPr>
      <w:hyperlink w:anchor="section_7" w:history="1">
        <w:r>
          <w:t>7  Conclusion</w:t>
        </w:r>
      </w:hyperlink>
    </w:p>
    <w:p w14:paraId="7BB013C7" w14:textId="77777777" w:rsidR="00106089" w:rsidRDefault="00AA2BFB">
      <w:pPr>
        <w:spacing w:after="120"/>
      </w:pPr>
      <w:hyperlink w:anchor="section_8" w:history="1">
        <w:r>
          <w:t>8  References</w:t>
        </w:r>
      </w:hyperlink>
    </w:p>
    <w:p w14:paraId="2CF3C603" w14:textId="77777777" w:rsidR="00106089" w:rsidRDefault="00106089">
      <w:pPr>
        <w:pageBreakBefore/>
        <w:spacing w:after="0"/>
      </w:pPr>
    </w:p>
    <w:p w14:paraId="1F00195D" w14:textId="77777777" w:rsidR="00106089" w:rsidRDefault="00AA2BFB">
      <w:pPr>
        <w:pStyle w:val="Heading1"/>
        <w:numPr>
          <w:ilvl w:val="0"/>
          <w:numId w:val="2"/>
        </w:numPr>
      </w:pPr>
      <w:bookmarkStart w:id="0" w:name="section_1"/>
      <w:r>
        <w:t>Participation beyond attendance</w:t>
      </w:r>
      <w:bookmarkEnd w:id="0"/>
    </w:p>
    <w:p w14:paraId="61D9C812" w14:textId="77777777" w:rsidR="00106089" w:rsidRDefault="00AA2BFB">
      <w:r>
        <w:t>An invitation to participate does not settle who belongs. The more demanding question is whether residents can influence the conditions under which their participation becomes valuable. This essay compares Ghose and Pettygrove’s (2014b) ethnographic account of community gardening in Milwaukee with Crossan et al.’s (2016) account from Glasgow. I argue that inclusion should be assessed through access, decision-making authority and continuity of belonging—not simply attendance. My proposed extension is that in</w:t>
      </w:r>
      <w:r>
        <w:t>clusive sustainability should accommodate residents who contribute intermittently, disagree with organisers or decline particular responsibilities. Participation should not become the price of recognition as a legitimate resident.</w:t>
      </w:r>
    </w:p>
    <w:p w14:paraId="7ADD38B8" w14:textId="77777777" w:rsidR="00106089" w:rsidRDefault="00AA2BFB">
      <w:r>
        <w:t>Community gardening is an appropriate practice through which to investigate this problem because its sustainability credentials are themselves contested. McClintock (2014) locates urban agriculture within struggles over sustainable food systems while warning that replacing withdrawn services through voluntary labour can reinforce neoliberal arrangements. Environmental purpose therefore cannot establish political inclusiveness in advance. This essay examines the social organisation of sustainability, not mea</w:t>
      </w:r>
      <w:r>
        <w:t>sured reductions in emissions or improvements in biodiversity. (</w:t>
      </w:r>
      <w:hyperlink r:id="rId7" w:history="1">
        <w:r>
          <w:rPr>
            <w:rStyle w:val="Hyperlink"/>
          </w:rPr>
          <w:t>pdxscholar.library.pdx.edu</w:t>
        </w:r>
      </w:hyperlink>
      <w:r>
        <w:t>)</w:t>
      </w:r>
    </w:p>
    <w:p w14:paraId="13D5F76A" w14:textId="77777777" w:rsidR="00106089" w:rsidRDefault="00AA2BFB">
      <w:r>
        <w:t xml:space="preserve">Cornwall (2008) argues that participation requires specificity about participants, activities and beneficiaries. Following this approach, I distinguish being invited to perform tasks from being authorised to redefine them. Ong’s (1996) account of cultural citizenship adds that belonging involves both institutional subject formation and people’s efforts to constitute themselves as legitimate members. Here, citizenship means substantive recognition and political agency, not nationality or immigration status. </w:t>
      </w:r>
      <w:r>
        <w:t>Applying Ong comparatively does not make racialised exclusion and migration interchangeable; it directs attention to how apparently ordinary expectations define deserving participants. (</w:t>
      </w:r>
      <w:hyperlink r:id="rId8" w:history="1">
        <w:r>
          <w:rPr>
            <w:rStyle w:val="Hyperlink"/>
          </w:rPr>
          <w:t>gsdrc.org</w:t>
        </w:r>
      </w:hyperlink>
      <w:r>
        <w:t>)</w:t>
      </w:r>
    </w:p>
    <w:p w14:paraId="128147B2" w14:textId="77777777" w:rsidR="00106089" w:rsidRDefault="00AA2BFB">
      <w:pPr>
        <w:pStyle w:val="Heading1"/>
        <w:numPr>
          <w:ilvl w:val="0"/>
          <w:numId w:val="2"/>
        </w:numPr>
      </w:pPr>
      <w:bookmarkStart w:id="1" w:name="section_2"/>
      <w:r>
        <w:t>Published findings: Conditional access in Milwaukee</w:t>
      </w:r>
      <w:bookmarkEnd w:id="1"/>
    </w:p>
    <w:p w14:paraId="04A83542" w14:textId="77777777" w:rsidR="00106089" w:rsidRDefault="00AA2BFB">
      <w:r>
        <w:t>Ghose and Pettygrove’s (2014b) focal ethnography concerns Harambee, a predominantly Black Milwaukee neighbourhood shaped by racial segregation, industrial decline and disinvestment. Their 2010–2012 research combined interviews, observation in four gardens, public meetings and document analysis. Municipal officials acknowledged gardening’s amenity benefits but subordinated access to redevelopment priorities and prescribed maintenance. Official recognition therefore did not entail residents’ control over land</w:t>
      </w:r>
      <w:r>
        <w:t>. (</w:t>
      </w:r>
      <w:hyperlink r:id="rId9" w:history="1">
        <w:r>
          <w:rPr>
            <w:rStyle w:val="Hyperlink"/>
          </w:rPr>
          <w:t>bpb-us-e2.wpmucdn.com</w:t>
        </w:r>
      </w:hyperlink>
      <w:r>
        <w:t>)</w:t>
      </w:r>
    </w:p>
    <w:p w14:paraId="440FE44B" w14:textId="77777777" w:rsidR="00106089" w:rsidRDefault="00AA2BFB">
      <w:r>
        <w:t>All People’s Garden makes the competing meanings concrete. The city removed permission in 2005 for anticipated commercial development, which did not materialise. Residents and the church rebuilt the garden in 2008; the pastor represented this as resistance to treating the site as vacant. His account articulated an existing collective claim, rather than gratitude for an institutional invitation. Ghose and Pettygrove interpret such practices as citizenship-making while also identifying the exclusions produced</w:t>
      </w:r>
      <w:r>
        <w:t xml:space="preserve"> by dependence on voluntary resources. The pastor’s interpretation should not, however, be treated as every neighbouring resident’s voice (Ghose &amp; Pettygrove, 2014b). (</w:t>
      </w:r>
      <w:hyperlink r:id="rId10" w:history="1">
        <w:r>
          <w:rPr>
            <w:rStyle w:val="Hyperlink"/>
          </w:rPr>
          <w:t>bpb-us-e2.wpmucdn.com</w:t>
        </w:r>
      </w:hyperlink>
      <w:r>
        <w:t>)</w:t>
      </w:r>
    </w:p>
    <w:p w14:paraId="30B5D761" w14:textId="77777777" w:rsidR="00106089" w:rsidRDefault="00AA2BFB">
      <w:r>
        <w:t xml:space="preserve">The authors’ companion network analysis explains how participation became administratively possible. Residents needed organisational connections to obtain resources and navigate permissions, with Milwaukee Urban Gardens mediating applications. Such connections enabled action but distributed opportunities unevenly. At Concordia, extensive outside networks recruited volunteers more successfully </w:t>
      </w:r>
      <w:r>
        <w:lastRenderedPageBreak/>
        <w:t>than local residents. Elsewhere, organisers encouraged cutting tall plants to avoid neighbours’ objections, despite the implications for food production. Everyday cultivation was consequently entangled with judgements about appropriate appearance and legitimate neighbourhood improvement (Ghose &amp; Pettygrove, 2014a). (</w:t>
      </w:r>
      <w:hyperlink r:id="rId11" w:history="1">
        <w:r>
          <w:rPr>
            <w:rStyle w:val="Hyperlink"/>
          </w:rPr>
          <w:t>researchgate.net</w:t>
        </w:r>
      </w:hyperlink>
      <w:r>
        <w:t>)</w:t>
      </w:r>
    </w:p>
    <w:p w14:paraId="4B147EAD" w14:textId="77777777" w:rsidR="00106089" w:rsidRDefault="00AA2BFB">
      <w:r>
        <w:t>These findings complicate any simple opposition between an inviting institution and an already unified community. Residents initiated projects, neighbours could object, and intermediaries both assisted and constrained gardeners. My interpretation is that access operated through relationships whose benefits and conditions were inseparable—not through a single open or closed entrance.</w:t>
      </w:r>
    </w:p>
    <w:p w14:paraId="6C4C95E7" w14:textId="77777777" w:rsidR="00106089" w:rsidRDefault="00AA2BFB">
      <w:pPr>
        <w:pStyle w:val="Heading1"/>
        <w:numPr>
          <w:ilvl w:val="0"/>
          <w:numId w:val="2"/>
        </w:numPr>
      </w:pPr>
      <w:bookmarkStart w:id="2" w:name="section_3"/>
      <w:r>
        <w:t>Published findings: Collective capacities in Glasgow</w:t>
      </w:r>
      <w:bookmarkEnd w:id="2"/>
    </w:p>
    <w:p w14:paraId="511F9DB4" w14:textId="77777777" w:rsidR="00106089" w:rsidRDefault="00AA2BFB">
      <w:r>
        <w:t>Glasgow provides a related but distinct historical setting. Cumbers et al. (2018), writing from the same research programme as the focal account, situate gardens amid industrial decline, persistent dereliction, property-led regeneration and austerity. Their account also records tension between community uses of land and municipal efforts to obtain market rents. Institutional sustainability objectives thus coexisted with property-management priorities rather than forming one consistent position. (</w:t>
      </w:r>
      <w:hyperlink r:id="rId12" w:history="1">
        <w:r>
          <w:rPr>
            <w:rStyle w:val="Hyperlink"/>
          </w:rPr>
          <w:t>journals.sagepub.com</w:t>
        </w:r>
      </w:hyperlink>
      <w:r>
        <w:t>)</w:t>
      </w:r>
    </w:p>
    <w:p w14:paraId="44F1D3B0" w14:textId="77777777" w:rsidR="00106089" w:rsidRDefault="00AA2BFB">
      <w:r>
        <w:t>Crossan et al. (2016) conducted participant observation through visits to sixteen gardens and twenty-five interviews between February and July 2014. Their examples show participation generating capacities: a volunteer described acquiring organisational skills after reluctantly taking on committee responsibilities. A sessional worker described refugees and asylum seekers sharing knowledge about herbs and food preparation. Importantly, the latter is a worker’s representation of an encounter, not direct testim</w:t>
      </w:r>
      <w:r>
        <w:t>ony establishing how those participants experienced recognition. The authors interpret collective learning and collaboration as forms of DIY citizenship, challenging accounts that reduce gardening to service substitution. (</w:t>
      </w:r>
      <w:hyperlink r:id="rId13" w:history="1">
        <w:r>
          <w:rPr>
            <w:rStyle w:val="Hyperlink"/>
          </w:rPr>
          <w:t>eprints.gla.ac.uk</w:t>
        </w:r>
      </w:hyperlink>
      <w:r>
        <w:t>)</w:t>
      </w:r>
    </w:p>
    <w:p w14:paraId="0C52E3DA" w14:textId="77777777" w:rsidR="00106089" w:rsidRDefault="00AA2BFB">
      <w:r>
        <w:t>The companion account provides another meaning of successful participation. One volunteer valued the creation of space where children could play and people could simply sit, while an employee emphasised cultural activities beyond food growing. These accounts expand garden value beyond cultivation output, although neither demonstrates universal inclusion (Cumbers et al., 2018). (</w:t>
      </w:r>
      <w:hyperlink r:id="rId14" w:history="1">
        <w:r>
          <w:rPr>
            <w:rStyle w:val="Hyperlink"/>
          </w:rPr>
          <w:t>journals.sagepub.com</w:t>
        </w:r>
      </w:hyperlink>
      <w:r>
        <w:t>)</w:t>
      </w:r>
    </w:p>
    <w:p w14:paraId="62FBDEA9" w14:textId="77777777" w:rsidR="00106089" w:rsidRDefault="00AA2BFB">
      <w:r>
        <w:t>My reading is that the relevant distinction is not between productive and unproductive residents. It is between arrangements that allow diverse uses to become legitimate and arrangements that require everyone to justify their presence through a prescribed contribution. The Glasgow material offers grounds for this distinction, not proof that it was consistently achieved.</w:t>
      </w:r>
    </w:p>
    <w:p w14:paraId="7399E9A2" w14:textId="77777777" w:rsidR="00106089" w:rsidRDefault="00AA2BFB">
      <w:pPr>
        <w:pStyle w:val="Heading1"/>
        <w:numPr>
          <w:ilvl w:val="0"/>
          <w:numId w:val="2"/>
        </w:numPr>
      </w:pPr>
      <w:bookmarkStart w:id="3" w:name="section_4"/>
      <w:r>
        <w:t>Comparative interpretation: Who controls the obligations of belonging?</w:t>
      </w:r>
      <w:bookmarkEnd w:id="3"/>
    </w:p>
    <w:p w14:paraId="72A4EFCC" w14:textId="77777777" w:rsidR="00106089" w:rsidRDefault="00AA2BFB">
      <w:r>
        <w:t>The focal accounts differ in emphasis: Ghose and Pettygrove foreground conditional citizenship, whereas Crossan et al. foreground emergent collective capacities. Neither justifies a verdict that Milwaukee excludes while Glasgow includes. Both identify agency within unequal institutional relations. Their contrast is best treated as a question about which relationships become consequential, rather than as a competition between cities (Crossan et al., 2016; Ghose &amp; Pettygrove, 2014b). (</w:t>
      </w:r>
      <w:hyperlink r:id="rId15" w:history="1">
        <w:r>
          <w:rPr>
            <w:rStyle w:val="Hyperlink"/>
          </w:rPr>
          <w:t>bpb-us-e2.wpmucdn.com</w:t>
        </w:r>
      </w:hyperlink>
      <w:r>
        <w:t>)</w:t>
      </w:r>
    </w:p>
    <w:p w14:paraId="3C90605E" w14:textId="77777777" w:rsidR="00106089" w:rsidRDefault="00AA2BFB">
      <w:r>
        <w:t xml:space="preserve">McClintock’s (2014) argument helps prevent this comparison becoming a binary choice between resistance and co-option. Gardening can alleviate harms while remaining implicated in arrangements that generate them. A useful implication is to separate scales of evaluation: an activity might increase a participant’s </w:t>
      </w:r>
      <w:r>
        <w:lastRenderedPageBreak/>
        <w:t>practical autonomy without redistributing municipal resources. Conversely, evidence of structural inequality does not invalidate a participant’s account of meaningful collective work. Neither celebratory testimony nor a structural diagnosis should automatically cancel the other. (</w:t>
      </w:r>
      <w:hyperlink r:id="rId16" w:history="1">
        <w:r>
          <w:rPr>
            <w:rStyle w:val="Hyperlink"/>
          </w:rPr>
          <w:t>pdxscholar.library.pdx.edu</w:t>
        </w:r>
      </w:hyperlink>
      <w:r>
        <w:t>)</w:t>
      </w:r>
    </w:p>
    <w:p w14:paraId="09CDC859" w14:textId="77777777" w:rsidR="00106089" w:rsidRDefault="00AA2BFB">
      <w:r>
        <w:t>I therefore propose three questions for evaluating inclusion. First, can residents enter without already possessing useful connections, time or expertise? Second, can they contest decisions about acceptable practices? Third, can they remain recognised when their capacity or willingness to contribute changes? These are analytical criteria developed here, not findings that either ethnography independently tested. Their purpose is to distinguish inclusion in labour from inclusion in governing the conditions of</w:t>
      </w:r>
      <w:r>
        <w:t xml:space="preserve"> labour. An initiative could perform well on one dimension and poorly on another.</w:t>
      </w:r>
    </w:p>
    <w:p w14:paraId="368BBBC6" w14:textId="77777777" w:rsidR="00106089" w:rsidRDefault="00AA2BFB">
      <w:r>
        <w:t>Ong’s (1996) approach also makes an apparently benevolent invitation politically consequential: being recognised through an approved identity is not identical to having authority over that identity. My extension is that the ideal productive volunteer deserves scrutiny even where organisers genuinely seek equality. Who would count as a successful member if regular physical work, confident speech or administrative competence ceased to be the measure? This question concerns institutional expectations, not a cl</w:t>
      </w:r>
      <w:r>
        <w:t>aim that the published participants lacked agency. (</w:t>
      </w:r>
      <w:hyperlink r:id="rId17" w:history="1">
        <w:r>
          <w:rPr>
            <w:rStyle w:val="Hyperlink"/>
          </w:rPr>
          <w:t>escholarship.org</w:t>
        </w:r>
      </w:hyperlink>
      <w:r>
        <w:t>)</w:t>
      </w:r>
    </w:p>
    <w:p w14:paraId="29AF72AC" w14:textId="77777777" w:rsidR="00106089" w:rsidRDefault="00AA2BFB">
      <w:r>
        <w:t>A serious objection is that gardens require maintenance and cannot survive if all obligations are optional. Inclusion cannot mean unlimited individual entitlement to other people’s labour. The appropriate distinction, I suggest, is between collectively negotiated responsibilities and moral judgements that equate contribution with worth. Rotating tasks, recognising non-physical contributions and providing support could preserve shared obligations without demanding identical performance. These are recommendat</w:t>
      </w:r>
      <w:r>
        <w:t>ions to investigate, not demonstrated solutions. Equally, choosing not to participate should not automatically be interpreted as exclusion: Cornwall (2008) distinguishes practical barriers, previous silencing and decisions that participation is not worthwhile. (</w:t>
      </w:r>
      <w:hyperlink r:id="rId18" w:history="1">
        <w:r>
          <w:rPr>
            <w:rStyle w:val="Hyperlink"/>
          </w:rPr>
          <w:t>gsdrc.org</w:t>
        </w:r>
      </w:hyperlink>
      <w:r>
        <w:t>)</w:t>
      </w:r>
    </w:p>
    <w:p w14:paraId="4ACEFEDC" w14:textId="77777777" w:rsidR="00106089" w:rsidRDefault="00AA2BFB">
      <w:pPr>
        <w:pStyle w:val="Heading1"/>
        <w:numPr>
          <w:ilvl w:val="0"/>
          <w:numId w:val="2"/>
        </w:numPr>
      </w:pPr>
      <w:bookmarkStart w:id="4" w:name="section_5"/>
      <w:r>
        <w:t>Positionality and the limits of comparison</w:t>
      </w:r>
      <w:bookmarkEnd w:id="4"/>
    </w:p>
    <w:p w14:paraId="0214179D" w14:textId="77777777" w:rsidR="00106089" w:rsidRDefault="00AA2BFB">
      <w:r>
        <w:t>Haraway’s (1988) situated knowledge challenges the assumption that an account becomes objective by erasing the conditions of its production. Applied here, reflexivity means asking how research relationships and analytical commitments make particular experiences visible. It does not mean dismissing evidence as merely subjective. Nor should the absence of a detailed identity statement license speculation about an author’s race, class or insider status. (</w:t>
      </w:r>
      <w:hyperlink r:id="rId19" w:history="1">
        <w:r>
          <w:rPr>
            <w:rStyle w:val="Hyperlink"/>
          </w:rPr>
          <w:t>sidoli.w.waseda.jp</w:t>
        </w:r>
      </w:hyperlink>
      <w:r>
        <w:t>)</w:t>
      </w:r>
    </w:p>
    <w:p w14:paraId="57DAA5C5" w14:textId="77777777" w:rsidR="00106089" w:rsidRDefault="00AA2BFB">
      <w:r>
        <w:t>The studies also construct different observational fields. Milwaukee research followed a neighbourhood over multiple years, while the Glasgow study ranged across sixteen gardens during six months. I therefore cannot attribute every difference between their conclusions to the cities themselves. Duration, site selection and the distribution of attention between institutional negotiations and everyday encounters may also matter. This is a methodological inference, not a demonstrated explanation of the authors’</w:t>
      </w:r>
      <w:r>
        <w:t xml:space="preserve"> disagreement (Crossan et al., 2016; Ghose &amp; Pettygrove, 2014a). (</w:t>
      </w:r>
      <w:hyperlink r:id="rId20" w:history="1">
        <w:r>
          <w:rPr>
            <w:rStyle w:val="Hyperlink"/>
          </w:rPr>
          <w:t>eprints.gla.ac.uk</w:t>
        </w:r>
      </w:hyperlink>
      <w:r>
        <w:t>)</w:t>
      </w:r>
    </w:p>
    <w:p w14:paraId="7A165832" w14:textId="77777777" w:rsidR="00106089" w:rsidRDefault="00AA2BFB">
      <w:r>
        <w:t>Institutional location warrants similarly careful treatment. The Glasgow companion article acknowledges funding from a university–city council knowledge-exchange partnership (Cumbers et al., 2018). Such support raises questions about access and the intended usefulness of research, but does not establish compromised findings. A critical reader should ask whether unsuccessful projects, dissenters and residents outside recognised organisations were comparably accessible, rather than infer bias from funding alo</w:t>
      </w:r>
      <w:r>
        <w:t>ne. (</w:t>
      </w:r>
      <w:hyperlink r:id="rId21" w:history="1">
        <w:r>
          <w:rPr>
            <w:rStyle w:val="Hyperlink"/>
          </w:rPr>
          <w:t>journals.sagepub.com</w:t>
        </w:r>
      </w:hyperlink>
      <w:r>
        <w:t>)</w:t>
      </w:r>
    </w:p>
    <w:p w14:paraId="46428102" w14:textId="77777777" w:rsidR="00106089" w:rsidRDefault="00AA2BFB">
      <w:r>
        <w:lastRenderedPageBreak/>
        <w:t>The evidentiary asymmetry is particularly important for the assignment’s distinction between institutions and participants. Published accounts offer selected representations of both. A pastor, volunteer, employee and municipal official occupy different positions; none can transparently represent a whole community. Moreover, the absence of testimony from someone who never joined cannot establish why they stayed away. I consequently compare mechanisms and interpretations, not population-level inclusion rates.</w:t>
      </w:r>
      <w:r>
        <w:t xml:space="preserve"> My own analytical preference for protecting dissent may also privilege conflict over pleasures that participants consider more important. Following situated knowledge, that preference should remain open to correction rather than become the hidden standard against which all gardening is judged (Haraway, 1988). (</w:t>
      </w:r>
      <w:hyperlink r:id="rId22" w:history="1">
        <w:r>
          <w:rPr>
            <w:rStyle w:val="Hyperlink"/>
          </w:rPr>
          <w:t>sidoli.w.waseda.jp</w:t>
        </w:r>
      </w:hyperlink>
      <w:r>
        <w:t>)</w:t>
      </w:r>
    </w:p>
    <w:p w14:paraId="005BF389" w14:textId="77777777" w:rsidR="00106089" w:rsidRDefault="00AA2BFB">
      <w:pPr>
        <w:pStyle w:val="Heading1"/>
        <w:numPr>
          <w:ilvl w:val="0"/>
          <w:numId w:val="2"/>
        </w:numPr>
      </w:pPr>
      <w:bookmarkStart w:id="5" w:name="section_6"/>
      <w:r>
        <w:t>Future research: An ethical question and method</w:t>
      </w:r>
      <w:bookmarkEnd w:id="5"/>
    </w:p>
    <w:p w14:paraId="629A7F06" w14:textId="77777777" w:rsidR="00106089" w:rsidRDefault="00AA2BFB">
      <w:r>
        <w:t xml:space="preserve">The proposed question is: </w:t>
      </w:r>
      <w:r>
        <w:rPr>
          <w:b/>
          <w:bCs/>
        </w:rPr>
        <w:t>Under what conditions can residents reduce their labour or challenge garden rules without losing access, recognition or influence?</w:t>
      </w:r>
      <w:r>
        <w:t xml:space="preserve"> This question tests the distinction between participation and conditional belonging without assuming that withdrawal means failure or that disagreement proves exclusion.</w:t>
      </w:r>
    </w:p>
    <w:p w14:paraId="5C07E21F" w14:textId="77777777" w:rsidR="00106089" w:rsidRDefault="00AA2BFB">
      <w:r>
        <w:t>I propose nine months of comparative ethnographic research in two gardens within one municipal district, selected for contrasting approaches to shared responsibilities. Keeping the wider administrative setting relatively constant would help examine organisational differences, although two sites could not establish causation. Recruitment would include active gardeners, former members and nearby nonparticipants through independent neighbourhood channels, rather than asking organisers to nominate all interview</w:t>
      </w:r>
      <w:r>
        <w:t>ees. Nobody would need to join a garden to participate in the research.</w:t>
      </w:r>
    </w:p>
    <w:p w14:paraId="357A986D" w14:textId="77777777" w:rsidR="00106089" w:rsidRDefault="00AA2BFB">
      <w:r>
        <w:t>With ongoing consent, methods would combine observation of work sessions and decision-making meetings, interviews at participant-chosen locations, and analysis of publicly available invitations and rules. Interviews would ask about specific decisions and changing obligations rather than presuppose exclusion. Analysis would compare institutional descriptions, reported experiences and observed interactions while preserving disagreement between them. Particular attention would go to counterexamples: flexible r</w:t>
      </w:r>
      <w:r>
        <w:t>ules that still feel unfair, demanding responsibilities that participants value, and decisions not to join that are unrelated to barriers.</w:t>
      </w:r>
    </w:p>
    <w:p w14:paraId="3B366D48" w14:textId="77777777" w:rsidR="00106089" w:rsidRDefault="00AA2BFB">
      <w:r>
        <w:t>Ethically, organisational permission would not substitute for individual consent. Identifiable bystanders would not enter fieldnotes without agreement, and non-consenting conversations would be excluded. Research participation would be separated from access to plots or services. Compensation would recognise interview time rather than reward criticism or continued garden involvement. Immigration status would not be solicited. Pseudonyms alone could not guarantee confidentiality in small groups, so distinctiv</w:t>
      </w:r>
      <w:r>
        <w:t>e incidents would be withheld or generalised where necessary, with identifiable reporting requiring specific agreement.</w:t>
      </w:r>
    </w:p>
    <w:p w14:paraId="320B3B46" w14:textId="77777777" w:rsidR="00106089" w:rsidRDefault="00AA2BFB">
      <w:r>
        <w:t>A reflexive log would document how helping with gardening, receiving introductions and becoming associated with organisers shaped access. Participants could comment privately on interpretations, without giving leaders access to others’ accounts or requiring collective consensus. These procedures would not eliminate unequal research relationships, but would make them more examinable. All these activities are proposed; no observations or interviews are claimed here.</w:t>
      </w:r>
    </w:p>
    <w:p w14:paraId="73EDB748" w14:textId="77777777" w:rsidR="00106089" w:rsidRDefault="00AA2BFB">
      <w:pPr>
        <w:pStyle w:val="Heading1"/>
        <w:numPr>
          <w:ilvl w:val="0"/>
          <w:numId w:val="2"/>
        </w:numPr>
      </w:pPr>
      <w:bookmarkStart w:id="6" w:name="section_7"/>
      <w:r>
        <w:lastRenderedPageBreak/>
        <w:t>Conclusion</w:t>
      </w:r>
      <w:bookmarkEnd w:id="6"/>
    </w:p>
    <w:p w14:paraId="019D309C" w14:textId="77777777" w:rsidR="00106089" w:rsidRDefault="00AA2BFB">
      <w:r>
        <w:t>The comparison supports evaluating participation through the terms of belonging, not through the invitation alone. Institutional support can enable collective action while narrowing acceptable claims; meaningful everyday activity can coexist with unequal authority. My proposed extension is therefore modest but demanding: inclusion should remain possible when residents dissent, contribute differently or step back. Whether such continuity can coexist with fair collective obligations is an empirical question f</w:t>
      </w:r>
      <w:r>
        <w:t>or future research, not an outcome that these published accounts already establish.</w:t>
      </w:r>
    </w:p>
    <w:p w14:paraId="065E7012" w14:textId="77777777" w:rsidR="00106089" w:rsidRDefault="00AA2BFB">
      <w:pPr>
        <w:pStyle w:val="Heading1"/>
        <w:numPr>
          <w:ilvl w:val="0"/>
          <w:numId w:val="2"/>
        </w:numPr>
      </w:pPr>
      <w:bookmarkStart w:id="7" w:name="section_8"/>
      <w:r>
        <w:t>References</w:t>
      </w:r>
      <w:bookmarkEnd w:id="7"/>
    </w:p>
    <w:p w14:paraId="6FFE1A22" w14:textId="77777777" w:rsidR="00106089" w:rsidRDefault="00AA2BFB">
      <w:r>
        <w:t xml:space="preserve">Cornwall, A. (2008). Unpacking ‘participation’: Models, meanings and practices. </w:t>
      </w:r>
      <w:r>
        <w:rPr>
          <w:i/>
          <w:iCs/>
        </w:rPr>
        <w:t>Community Development Journal, 43</w:t>
      </w:r>
      <w:r>
        <w:t xml:space="preserve">(3), 269–283. </w:t>
      </w:r>
      <w:r>
        <w:rPr>
          <w:rFonts w:ascii="Consolas" w:eastAsia="Consolas" w:hAnsi="Consolas" w:cs="Consolas"/>
        </w:rPr>
        <w:t>https://doi.org/10.1093/cdj/bsn010</w:t>
      </w:r>
    </w:p>
    <w:p w14:paraId="023D8D83" w14:textId="77777777" w:rsidR="00106089" w:rsidRDefault="00AA2BFB">
      <w:r>
        <w:t xml:space="preserve">Crossan, J., Cumbers, A., McMaster, R., &amp; Shaw, D. (2016). Contesting neoliberal urbanism in Glasgow’s community gardens: The practice of DIY citizenship. </w:t>
      </w:r>
      <w:r>
        <w:rPr>
          <w:i/>
          <w:iCs/>
        </w:rPr>
        <w:t>Antipode, 48</w:t>
      </w:r>
      <w:r>
        <w:t xml:space="preserve">(4), 937–955. </w:t>
      </w:r>
      <w:r>
        <w:rPr>
          <w:rFonts w:ascii="Consolas" w:eastAsia="Consolas" w:hAnsi="Consolas" w:cs="Consolas"/>
        </w:rPr>
        <w:t>https://doi.org/10.1111/anti.12220</w:t>
      </w:r>
    </w:p>
    <w:p w14:paraId="0E6A9842" w14:textId="77777777" w:rsidR="00106089" w:rsidRDefault="00AA2BFB">
      <w:r>
        <w:t xml:space="preserve">Cumbers, A., Shaw, D., Crossan, J., &amp; McMaster, R. (2018). The work of community gardens: Reclaiming place for community in the city. </w:t>
      </w:r>
      <w:r>
        <w:rPr>
          <w:i/>
          <w:iCs/>
        </w:rPr>
        <w:t>Work, Employment and Society, 32</w:t>
      </w:r>
      <w:r>
        <w:t xml:space="preserve">(1), 133–149. </w:t>
      </w:r>
      <w:r>
        <w:rPr>
          <w:rFonts w:ascii="Consolas" w:eastAsia="Consolas" w:hAnsi="Consolas" w:cs="Consolas"/>
        </w:rPr>
        <w:t>https://doi.org/10.1177/0950017017695042</w:t>
      </w:r>
    </w:p>
    <w:p w14:paraId="2A5FE243" w14:textId="77777777" w:rsidR="00106089" w:rsidRDefault="00AA2BFB">
      <w:r>
        <w:t xml:space="preserve">Ghose, R., &amp; Pettygrove, M. (2014a). Actors and networks in urban community garden development. </w:t>
      </w:r>
      <w:r>
        <w:rPr>
          <w:i/>
          <w:iCs/>
        </w:rPr>
        <w:t>Geoforum, 53</w:t>
      </w:r>
      <w:r>
        <w:t xml:space="preserve">, 93–103. </w:t>
      </w:r>
      <w:r>
        <w:rPr>
          <w:rFonts w:ascii="Consolas" w:eastAsia="Consolas" w:hAnsi="Consolas" w:cs="Consolas"/>
        </w:rPr>
        <w:t>https://doi.org/10.1016/j.geoforum.2014.02.009</w:t>
      </w:r>
    </w:p>
    <w:p w14:paraId="3B77FD5B" w14:textId="77777777" w:rsidR="00106089" w:rsidRDefault="00AA2BFB">
      <w:r>
        <w:t xml:space="preserve">Ghose, R., &amp; Pettygrove, M. (2014b). Urban community gardens as spaces of citizenship. </w:t>
      </w:r>
      <w:r>
        <w:rPr>
          <w:i/>
          <w:iCs/>
        </w:rPr>
        <w:t>Antipode, 46</w:t>
      </w:r>
      <w:r>
        <w:t xml:space="preserve">(4), 1092–1112. </w:t>
      </w:r>
      <w:r>
        <w:rPr>
          <w:rFonts w:ascii="Consolas" w:eastAsia="Consolas" w:hAnsi="Consolas" w:cs="Consolas"/>
        </w:rPr>
        <w:t>https://doi.org/10.1111/anti.12077</w:t>
      </w:r>
    </w:p>
    <w:p w14:paraId="053F5DCF" w14:textId="77777777" w:rsidR="00106089" w:rsidRDefault="00AA2BFB">
      <w:r>
        <w:t xml:space="preserve">Haraway, D. (1988). Situated knowledges: The science question in feminism and the privilege of partial perspective. </w:t>
      </w:r>
      <w:r>
        <w:rPr>
          <w:i/>
          <w:iCs/>
        </w:rPr>
        <w:t>Feminist Studies, 14</w:t>
      </w:r>
      <w:r>
        <w:t xml:space="preserve">(3), 575–599. </w:t>
      </w:r>
      <w:r>
        <w:rPr>
          <w:rFonts w:ascii="Consolas" w:eastAsia="Consolas" w:hAnsi="Consolas" w:cs="Consolas"/>
        </w:rPr>
        <w:t>https://doi.org/10.2307/3178066</w:t>
      </w:r>
    </w:p>
    <w:p w14:paraId="6AFE8831" w14:textId="77777777" w:rsidR="00106089" w:rsidRDefault="00AA2BFB">
      <w:r>
        <w:t xml:space="preserve">McClintock, N. (2014). Radical, reformist, and garden-variety neoliberal: Coming to terms with urban agriculture’s contradictions. </w:t>
      </w:r>
      <w:r>
        <w:rPr>
          <w:i/>
          <w:iCs/>
        </w:rPr>
        <w:t>Local Environment, 19</w:t>
      </w:r>
      <w:r>
        <w:t xml:space="preserve">(2), 147–171. </w:t>
      </w:r>
      <w:r>
        <w:rPr>
          <w:rFonts w:ascii="Consolas" w:eastAsia="Consolas" w:hAnsi="Consolas" w:cs="Consolas"/>
        </w:rPr>
        <w:t>https://doi.org/10.1080/13549839.2012.752797</w:t>
      </w:r>
    </w:p>
    <w:p w14:paraId="41BBB045" w14:textId="77777777" w:rsidR="00106089" w:rsidRDefault="00AA2BFB">
      <w:r>
        <w:t xml:space="preserve">Ong, A. (1996). Cultural citizenship as subject-making: Immigrants negotiate racial and cultural boundaries in the United States. </w:t>
      </w:r>
      <w:r>
        <w:rPr>
          <w:i/>
          <w:iCs/>
        </w:rPr>
        <w:t>Current Anthropology, 37</w:t>
      </w:r>
      <w:r>
        <w:t xml:space="preserve">(5), 737–762. </w:t>
      </w:r>
      <w:r>
        <w:rPr>
          <w:rFonts w:ascii="Consolas" w:eastAsia="Consolas" w:hAnsi="Consolas" w:cs="Consolas"/>
        </w:rPr>
        <w:t>https://doi.org/10.1086/204560</w:t>
      </w:r>
    </w:p>
    <w:p w14:paraId="58661344" w14:textId="77777777" w:rsidR="00106089" w:rsidRDefault="00AA2BFB">
      <w:pPr>
        <w:pStyle w:val="Heading1"/>
        <w:pageBreakBefore/>
      </w:pPr>
      <w:r>
        <w:lastRenderedPageBreak/>
        <w:t>Full settings appendix</w:t>
      </w:r>
    </w:p>
    <w:p w14:paraId="5EFE0D7D" w14:textId="77777777" w:rsidR="00106089" w:rsidRDefault="00AA2BFB">
      <w:pPr>
        <w:pStyle w:val="Heading2"/>
      </w:pPr>
      <w:r>
        <w:t>Assignment brief</w:t>
      </w:r>
    </w:p>
    <w:p w14:paraId="535862EE" w14:textId="77777777" w:rsidR="00106089" w:rsidRDefault="00AA2BFB">
      <w:pPr>
        <w:spacing w:after="100"/>
      </w:pPr>
      <w:r>
        <w:t>BA3 anthropological literature essay: Who is included and excluded when urban sustainability initiatives invite residents to participate? Choose a specific practice, such as community gardening, neighbourhood energy initiatives or repair cafés. Compare two published ethnographic accounts, situating each in its social and historical context. Use concepts of power, citizenship and everyday practice to analyse the difference between institutional accounts of participation and participants’ perspectives. Discus</w:t>
      </w:r>
      <w:r>
        <w:t>s researcher positionality and the limits of comparing ethnographic knowledge across settings. Propose an ethical fieldwork question and method for future research, without inventing observations, quotations, interviews or personal fieldwork.</w:t>
      </w:r>
    </w:p>
    <w:p w14:paraId="00D81B3B" w14:textId="77777777" w:rsidR="00106089" w:rsidRDefault="00AA2BFB">
      <w:pPr>
        <w:spacing w:after="100"/>
      </w:pPr>
      <w:r>
        <w:t>Select at least six verifiable scholarly sources relevant to your question. Use APA 7 in-text citations and a matching reference list. Clearly separate research findings, interpretation and recommendations. Use published evidence only; do not invent data, interviews or firsthand experience. You may choose cases, theories and sources where these are not specified.</w:t>
      </w:r>
    </w:p>
    <w:p w14:paraId="7D9966F2" w14:textId="77777777" w:rsidR="00106089" w:rsidRDefault="00AA2BFB">
      <w:pPr>
        <w:pStyle w:val="Heading2"/>
      </w:pPr>
      <w:r>
        <w:t>Marking criteria</w:t>
      </w:r>
    </w:p>
    <w:p w14:paraId="010F3AD2" w14:textId="77777777" w:rsidR="00106089" w:rsidRDefault="00AA2BFB">
      <w:pPr>
        <w:spacing w:after="100"/>
      </w:pPr>
      <w:r>
        <w:t>Conceptual engagement: 25%; contextualised ethnographic comparison: 30%; reflexivity, positionality and ethics: 20%; independent synthesis and research question: 15%; structure and APA referencing: 10%. Strong work distinguishes participants’ meanings from institutional and researcher interpretations.</w:t>
      </w:r>
    </w:p>
    <w:p w14:paraId="40502E54" w14:textId="77777777" w:rsidR="00106089" w:rsidRDefault="00AA2BFB">
      <w:pPr>
        <w:pStyle w:val="Heading2"/>
      </w:pPr>
      <w:r>
        <w:t>Learning outcomes</w:t>
      </w:r>
    </w:p>
    <w:p w14:paraId="5F0E3484" w14:textId="77777777" w:rsidR="00106089" w:rsidRDefault="00AA2BFB">
      <w:pPr>
        <w:spacing w:after="100"/>
      </w:pPr>
      <w:r>
        <w:t>Synthesise anthropological debates on sustainability, power and citizenship.</w:t>
      </w:r>
    </w:p>
    <w:p w14:paraId="3F0195C1" w14:textId="77777777" w:rsidR="00106089" w:rsidRDefault="00AA2BFB">
      <w:pPr>
        <w:spacing w:after="100"/>
      </w:pPr>
      <w:r>
        <w:t>Interpret ethnographic evidence in context.</w:t>
      </w:r>
    </w:p>
    <w:p w14:paraId="3ADAD2DF" w14:textId="77777777" w:rsidR="00106089" w:rsidRDefault="00AA2BFB">
      <w:pPr>
        <w:spacing w:after="100"/>
      </w:pPr>
      <w:r>
        <w:t>Compare accounts without flattening cultural differences.</w:t>
      </w:r>
    </w:p>
    <w:p w14:paraId="77D892F8" w14:textId="77777777" w:rsidR="00106089" w:rsidRDefault="00AA2BFB">
      <w:pPr>
        <w:spacing w:after="100"/>
      </w:pPr>
      <w:r>
        <w:t>Evaluate positionality and research ethics.</w:t>
      </w:r>
    </w:p>
    <w:p w14:paraId="4A8B2BC1" w14:textId="77777777" w:rsidR="00106089" w:rsidRDefault="00AA2BFB">
      <w:pPr>
        <w:pStyle w:val="Heading2"/>
      </w:pPr>
      <w:r>
        <w:t>Exemplar or formatting instructions</w:t>
      </w:r>
    </w:p>
    <w:p w14:paraId="581A6819" w14:textId="77777777" w:rsidR="00106089" w:rsidRDefault="00AA2BFB">
      <w:pPr>
        <w:spacing w:after="100"/>
      </w:pPr>
      <w:r>
        <w:t>Use a descriptive title, numbered sections, and an APA 7 reference list. The word limit excludes references. This is an illustrative BA3 assignment created for the simulator, not an official Leiden University assignment.</w:t>
      </w:r>
    </w:p>
    <w:p w14:paraId="081870E2" w14:textId="77777777" w:rsidR="00106089" w:rsidRDefault="00AA2BFB">
      <w:pPr>
        <w:pStyle w:val="Heading2"/>
      </w:pPr>
      <w:r>
        <w:t>Expectations for the simulated student’s work</w:t>
      </w:r>
    </w:p>
    <w:p w14:paraId="2CAF53DC" w14:textId="77777777" w:rsidR="00106089" w:rsidRDefault="00AA2BFB">
      <w:pPr>
        <w:spacing w:after="100"/>
      </w:pPr>
      <w:r>
        <w:t>Political anthropology and anthropology of sustainability; a reflexive approach to ethnographic knowledge. Draw on published ethnographies, not fabricated fieldwork.</w:t>
      </w:r>
    </w:p>
    <w:p w14:paraId="5D30FCE1" w14:textId="77777777" w:rsidR="00106089" w:rsidRDefault="00AA2BFB">
      <w:pPr>
        <w:pStyle w:val="Heading2"/>
      </w:pPr>
      <w:r>
        <w:t>Run ID</w:t>
      </w:r>
    </w:p>
    <w:p w14:paraId="3B623B66" w14:textId="77777777" w:rsidR="00106089" w:rsidRDefault="00AA2BFB">
      <w:pPr>
        <w:spacing w:after="100"/>
      </w:pPr>
      <w:r>
        <w:t>1caed5ed-4bf5-418d-a243-443a5623eac6</w:t>
      </w:r>
    </w:p>
    <w:p w14:paraId="428D94F7" w14:textId="77777777" w:rsidR="00106089" w:rsidRDefault="00AA2BFB">
      <w:pPr>
        <w:pStyle w:val="Heading2"/>
      </w:pPr>
      <w:r>
        <w:t>API response ID</w:t>
      </w:r>
    </w:p>
    <w:p w14:paraId="4C98AA8F" w14:textId="77777777" w:rsidR="00106089" w:rsidRDefault="00AA2BFB">
      <w:pPr>
        <w:spacing w:after="100"/>
      </w:pPr>
      <w:r>
        <w:t>resp_0d71b8c818b0edb7016aafc095061c87d1abddfce6034b5b2e</w:t>
      </w:r>
    </w:p>
    <w:p w14:paraId="17D42032" w14:textId="77777777" w:rsidR="00106089" w:rsidRDefault="00AA2BFB">
      <w:pPr>
        <w:pStyle w:val="Heading2"/>
      </w:pPr>
      <w:r>
        <w:lastRenderedPageBreak/>
        <w:t>Enabled tools</w:t>
      </w:r>
    </w:p>
    <w:p w14:paraId="3FE3D563" w14:textId="77777777" w:rsidR="00106089" w:rsidRDefault="00AA2BFB">
      <w:pPr>
        <w:spacing w:after="100"/>
      </w:pPr>
      <w:r>
        <w:t>web_search</w:t>
      </w:r>
    </w:p>
    <w:p w14:paraId="227E0BC9" w14:textId="77777777" w:rsidR="00106089" w:rsidRDefault="00AA2BFB">
      <w:pPr>
        <w:pStyle w:val="Heading2"/>
      </w:pPr>
      <w:r>
        <w:t>Candidate word count</w:t>
      </w:r>
    </w:p>
    <w:p w14:paraId="5896E92C" w14:textId="77777777" w:rsidR="00106089" w:rsidRDefault="00AA2BFB">
      <w:pPr>
        <w:spacing w:after="100"/>
      </w:pPr>
      <w:r>
        <w:t>2164</w:t>
      </w:r>
    </w:p>
    <w:p w14:paraId="307C1DF1" w14:textId="77777777" w:rsidR="00106089" w:rsidRDefault="00AA2BFB">
      <w:pPr>
        <w:pStyle w:val="Heading2"/>
      </w:pPr>
      <w:r>
        <w:t>Candidate SHA-256</w:t>
      </w:r>
    </w:p>
    <w:p w14:paraId="2495820A" w14:textId="77777777" w:rsidR="00106089" w:rsidRDefault="00AA2BFB">
      <w:pPr>
        <w:spacing w:after="100"/>
      </w:pPr>
      <w:r>
        <w:t>be6267ea1dfd4f9b90911205698e1af20807cc4789fb10e22219c9527b6b93b8</w:t>
      </w:r>
    </w:p>
    <w:p w14:paraId="16AA8B28" w14:textId="77777777" w:rsidR="00106089" w:rsidRDefault="00AA2BFB">
      <w:pPr>
        <w:pStyle w:val="Heading2"/>
      </w:pPr>
      <w:r>
        <w:t>Applied USD rates per million tokens</w:t>
      </w:r>
    </w:p>
    <w:p w14:paraId="27A948FC" w14:textId="77777777" w:rsidR="00106089" w:rsidRDefault="00AA2BFB">
      <w:pPr>
        <w:spacing w:after="100"/>
      </w:pPr>
      <w:r>
        <w:t>Input 10; cached input 1; cache write 12.5; output 50. Web search: 0.01 USD per call. Long-context rates: no.</w:t>
      </w:r>
    </w:p>
    <w:p w14:paraId="2461C204" w14:textId="77777777" w:rsidR="00106089" w:rsidRDefault="00AA2BFB">
      <w:pPr>
        <w:pStyle w:val="Heading2"/>
      </w:pPr>
      <w:r>
        <w:t>Cost components in USD</w:t>
      </w:r>
    </w:p>
    <w:p w14:paraId="555CDE75" w14:textId="77777777" w:rsidR="00106089" w:rsidRDefault="00AA2BFB">
      <w:pPr>
        <w:spacing w:after="100"/>
      </w:pPr>
      <w:r>
        <w:t>Input 1.219823; output 0.676200; web-search calls 0.130000.</w:t>
      </w:r>
    </w:p>
    <w:sectPr w:rsidR="00106089">
      <w:footerReference w:type="default" r:id="rId23"/>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FE92EF" w14:textId="77777777" w:rsidR="00AA2BFB" w:rsidRDefault="00AA2BFB">
      <w:pPr>
        <w:spacing w:after="0" w:line="240" w:lineRule="auto"/>
      </w:pPr>
      <w:r>
        <w:separator/>
      </w:r>
    </w:p>
  </w:endnote>
  <w:endnote w:type="continuationSeparator" w:id="0">
    <w:p w14:paraId="079197D8" w14:textId="77777777" w:rsidR="00AA2BFB" w:rsidRDefault="00AA2B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C4896" w14:textId="77777777" w:rsidR="00106089" w:rsidRDefault="00AA2BFB">
    <w:pPr>
      <w:jc w:val="center"/>
    </w:pPr>
    <w:r>
      <w:fldChar w:fldCharType="begin"/>
    </w:r>
    <w:r>
      <w:instrText>PAGE</w:instrText>
    </w:r>
    <w:r>
      <w:fldChar w:fldCharType="separate"/>
    </w:r>
    <w:r w:rsidR="00E87BCB">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F0183B" w14:textId="77777777" w:rsidR="00AA2BFB" w:rsidRDefault="00AA2BFB">
      <w:pPr>
        <w:spacing w:after="0" w:line="240" w:lineRule="auto"/>
      </w:pPr>
      <w:r>
        <w:separator/>
      </w:r>
    </w:p>
  </w:footnote>
  <w:footnote w:type="continuationSeparator" w:id="0">
    <w:p w14:paraId="04DA81BE" w14:textId="77777777" w:rsidR="00AA2BFB" w:rsidRDefault="00AA2BF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AC6F7C"/>
    <w:multiLevelType w:val="hybridMultilevel"/>
    <w:tmpl w:val="C002B644"/>
    <w:lvl w:ilvl="0" w:tplc="CDB07BB4">
      <w:start w:val="1"/>
      <w:numFmt w:val="bullet"/>
      <w:lvlText w:val="●"/>
      <w:lvlJc w:val="left"/>
      <w:pPr>
        <w:ind w:left="720" w:hanging="360"/>
      </w:pPr>
    </w:lvl>
    <w:lvl w:ilvl="1" w:tplc="16BA5EC4">
      <w:start w:val="1"/>
      <w:numFmt w:val="bullet"/>
      <w:lvlText w:val="○"/>
      <w:lvlJc w:val="left"/>
      <w:pPr>
        <w:ind w:left="1440" w:hanging="360"/>
      </w:pPr>
    </w:lvl>
    <w:lvl w:ilvl="2" w:tplc="21AAC35A">
      <w:start w:val="1"/>
      <w:numFmt w:val="bullet"/>
      <w:lvlText w:val="■"/>
      <w:lvlJc w:val="left"/>
      <w:pPr>
        <w:ind w:left="2160" w:hanging="360"/>
      </w:pPr>
    </w:lvl>
    <w:lvl w:ilvl="3" w:tplc="D5D4E346">
      <w:start w:val="1"/>
      <w:numFmt w:val="bullet"/>
      <w:lvlText w:val="●"/>
      <w:lvlJc w:val="left"/>
      <w:pPr>
        <w:ind w:left="2880" w:hanging="360"/>
      </w:pPr>
    </w:lvl>
    <w:lvl w:ilvl="4" w:tplc="B574CDC4">
      <w:start w:val="1"/>
      <w:numFmt w:val="bullet"/>
      <w:lvlText w:val="○"/>
      <w:lvlJc w:val="left"/>
      <w:pPr>
        <w:ind w:left="3600" w:hanging="360"/>
      </w:pPr>
    </w:lvl>
    <w:lvl w:ilvl="5" w:tplc="8884D0F4">
      <w:start w:val="1"/>
      <w:numFmt w:val="bullet"/>
      <w:lvlText w:val="■"/>
      <w:lvlJc w:val="left"/>
      <w:pPr>
        <w:ind w:left="4320" w:hanging="360"/>
      </w:pPr>
    </w:lvl>
    <w:lvl w:ilvl="6" w:tplc="970E6D18">
      <w:start w:val="1"/>
      <w:numFmt w:val="bullet"/>
      <w:lvlText w:val="●"/>
      <w:lvlJc w:val="left"/>
      <w:pPr>
        <w:ind w:left="5040" w:hanging="360"/>
      </w:pPr>
    </w:lvl>
    <w:lvl w:ilvl="7" w:tplc="A83454FC">
      <w:start w:val="1"/>
      <w:numFmt w:val="bullet"/>
      <w:lvlText w:val="●"/>
      <w:lvlJc w:val="left"/>
      <w:pPr>
        <w:ind w:left="5760" w:hanging="360"/>
      </w:pPr>
    </w:lvl>
    <w:lvl w:ilvl="8" w:tplc="BEEC0452">
      <w:start w:val="1"/>
      <w:numFmt w:val="bullet"/>
      <w:lvlText w:val="●"/>
      <w:lvlJc w:val="left"/>
      <w:pPr>
        <w:ind w:left="6480" w:hanging="360"/>
      </w:pPr>
    </w:lvl>
  </w:abstractNum>
  <w:abstractNum w:abstractNumId="1" w15:restartNumberingAfterBreak="0">
    <w:nsid w:val="587C550B"/>
    <w:multiLevelType w:val="multilevel"/>
    <w:tmpl w:val="DA1624F4"/>
    <w:lvl w:ilvl="0">
      <w:start w:val="1"/>
      <w:numFmt w:val="decimal"/>
      <w:lvlText w:val="%1"/>
      <w:lvlJc w:val="left"/>
      <w:pPr>
        <w:ind w:left="0" w:firstLine="0"/>
      </w:pPr>
      <w:rPr>
        <w:color w:val="000000"/>
      </w:rPr>
    </w:lvl>
    <w:lvl w:ilvl="1">
      <w:start w:val="1"/>
      <w:numFmt w:val="decimal"/>
      <w:lvlText w:val="%1.%2"/>
      <w:lvlJc w:val="left"/>
      <w:pPr>
        <w:ind w:left="0" w:firstLine="0"/>
      </w:pPr>
      <w:rPr>
        <w:color w:val="000000"/>
      </w:rPr>
    </w:lvl>
    <w:lvl w:ilvl="2">
      <w:start w:val="1"/>
      <w:numFmt w:val="decimal"/>
      <w:lvlText w:val="%1.%2.%3"/>
      <w:lvlJc w:val="left"/>
      <w:pPr>
        <w:ind w:left="0" w:firstLine="0"/>
      </w:pPr>
      <w:rPr>
        <w:color w:val="000000"/>
      </w:rPr>
    </w:lvl>
    <w:lvl w:ilvl="3">
      <w:start w:val="1"/>
      <w:numFmt w:val="decimal"/>
      <w:lvlText w:val="%1.%2.%3.%4"/>
      <w:lvlJc w:val="left"/>
      <w:pPr>
        <w:ind w:left="0" w:firstLine="0"/>
      </w:pPr>
      <w:rPr>
        <w:color w:val="000000"/>
      </w:rPr>
    </w:lvl>
    <w:lvl w:ilvl="4">
      <w:start w:val="1"/>
      <w:numFmt w:val="decimal"/>
      <w:lvlText w:val="%1.%2.%3.%4.%5"/>
      <w:lvlJc w:val="left"/>
      <w:pPr>
        <w:ind w:left="0" w:firstLine="0"/>
      </w:pPr>
      <w:rPr>
        <w:color w:val="000000"/>
      </w:rPr>
    </w:lvl>
    <w:lvl w:ilvl="5">
      <w:start w:val="1"/>
      <w:numFmt w:val="decimal"/>
      <w:lvlText w:val="%1.%2.%3.%4.%5.%6"/>
      <w:lvlJc w:val="left"/>
      <w:pPr>
        <w:ind w:left="0" w:firstLine="0"/>
      </w:pPr>
      <w:rPr>
        <w:color w:val="000000"/>
      </w:rPr>
    </w:lvl>
    <w:lvl w:ilvl="6">
      <w:numFmt w:val="decimal"/>
      <w:lvlText w:val=""/>
      <w:lvlJc w:val="left"/>
    </w:lvl>
    <w:lvl w:ilvl="7">
      <w:numFmt w:val="decimal"/>
      <w:lvlText w:val=""/>
      <w:lvlJc w:val="left"/>
    </w:lvl>
    <w:lvl w:ilvl="8">
      <w:numFmt w:val="decimal"/>
      <w:lvlText w:val=""/>
      <w:lvlJc w:val="left"/>
    </w:lvl>
  </w:abstractNum>
  <w:num w:numId="1" w16cid:durableId="1412190688">
    <w:abstractNumId w:val="0"/>
    <w:lvlOverride w:ilvl="0">
      <w:startOverride w:val="1"/>
    </w:lvlOverride>
  </w:num>
  <w:num w:numId="2" w16cid:durableId="1196576019">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6089"/>
    <w:rsid w:val="00106089"/>
    <w:rsid w:val="002960D3"/>
    <w:rsid w:val="00AA2BFB"/>
    <w:rsid w:val="00E87BCB"/>
  </w:rsids>
  <m:mathPr>
    <m:mathFont m:val="Cambria Math"/>
    <m:brkBin m:val="before"/>
    <m:brkBinSub m:val="--"/>
    <m:smallFrac m:val="0"/>
    <m:dispDef/>
    <m:lMargin m:val="0"/>
    <m:rMargin m:val="0"/>
    <m:defJc m:val="centerGroup"/>
    <m:wrapIndent m:val="1440"/>
    <m:intLim m:val="subSup"/>
    <m:naryLim m:val="undOvr"/>
  </m:mathPr>
  <w:themeFontLang w:val="en-NL"/>
  <w:clrSchemeMapping w:bg1="light1" w:t1="dark1" w:bg2="light2" w:t2="dark2" w:accent1="accent1" w:accent2="accent2" w:accent3="accent3" w:accent4="accent4" w:accent5="accent5" w:accent6="accent6" w:hyperlink="hyperlink" w:followedHyperlink="followedHyperlink"/>
  <w:decimalSymbol w:val=","/>
  <w:listSeparator w:val=","/>
  <w14:docId w14:val="643CB9A9"/>
  <w15:docId w15:val="{4BEE6A81-4B6E-4F20-B862-6E58987002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000000"/>
        <w:sz w:val="22"/>
        <w:szCs w:val="22"/>
        <w:lang w:val="en-NL" w:eastAsia="en-NL"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keepNext/>
      <w:spacing w:before="260" w:after="140"/>
      <w:outlineLvl w:val="0"/>
    </w:pPr>
    <w:rPr>
      <w:b/>
      <w:bCs/>
      <w:sz w:val="30"/>
      <w:szCs w:val="30"/>
    </w:rPr>
  </w:style>
  <w:style w:type="paragraph" w:styleId="Heading2">
    <w:name w:val="heading 2"/>
    <w:uiPriority w:val="9"/>
    <w:unhideWhenUsed/>
    <w:qFormat/>
    <w:pPr>
      <w:keepNext/>
      <w:spacing w:before="260" w:after="140"/>
      <w:outlineLvl w:val="1"/>
    </w:pPr>
    <w:rPr>
      <w:b/>
      <w:bCs/>
      <w:sz w:val="28"/>
      <w:szCs w:val="28"/>
    </w:rPr>
  </w:style>
  <w:style w:type="paragraph" w:styleId="Heading3">
    <w:name w:val="heading 3"/>
    <w:uiPriority w:val="9"/>
    <w:semiHidden/>
    <w:unhideWhenUsed/>
    <w:qFormat/>
    <w:pPr>
      <w:keepNext/>
      <w:spacing w:before="260" w:after="140"/>
      <w:outlineLvl w:val="2"/>
    </w:pPr>
    <w:rPr>
      <w:b/>
      <w:bCs/>
      <w:sz w:val="26"/>
      <w:szCs w:val="26"/>
    </w:rPr>
  </w:style>
  <w:style w:type="paragraph" w:styleId="Heading4">
    <w:name w:val="heading 4"/>
    <w:uiPriority w:val="9"/>
    <w:semiHidden/>
    <w:unhideWhenUsed/>
    <w:qFormat/>
    <w:pPr>
      <w:keepNext/>
      <w:spacing w:before="260" w:after="140"/>
      <w:outlineLvl w:val="3"/>
    </w:pPr>
    <w:rPr>
      <w:b/>
      <w:bCs/>
      <w:sz w:val="24"/>
      <w:szCs w:val="24"/>
    </w:rPr>
  </w:style>
  <w:style w:type="paragraph" w:styleId="Heading5">
    <w:name w:val="heading 5"/>
    <w:uiPriority w:val="9"/>
    <w:semiHidden/>
    <w:unhideWhenUsed/>
    <w:qFormat/>
    <w:pPr>
      <w:keepNext/>
      <w:spacing w:before="260" w:after="140"/>
      <w:outlineLvl w:val="4"/>
    </w:pPr>
    <w:rPr>
      <w:b/>
      <w:bCs/>
      <w:sz w:val="23"/>
      <w:szCs w:val="23"/>
    </w:rPr>
  </w:style>
  <w:style w:type="paragraph" w:styleId="Heading6">
    <w:name w:val="heading 6"/>
    <w:uiPriority w:val="9"/>
    <w:semiHidden/>
    <w:unhideWhenUsed/>
    <w:qFormat/>
    <w:pPr>
      <w:keepNext/>
      <w:spacing w:before="260" w:after="140"/>
      <w:outlineLvl w:val="5"/>
    </w:pPr>
    <w:rPr>
      <w:b/>
      <w:bC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pPr>
      <w:spacing w:after="280"/>
    </w:pPr>
    <w:rPr>
      <w:b/>
      <w:bCs/>
      <w:sz w:val="36"/>
      <w:szCs w:val="3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after="0"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after="0" w:line="240" w:lineRule="auto"/>
    </w:pPr>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gsdrc.org/wp-content/uploads/2016/03/Unpacking_Participation_models_meanings.pdf" TargetMode="External"/><Relationship Id="rId13" Type="http://schemas.openxmlformats.org/officeDocument/2006/relationships/hyperlink" Target="https://eprints.gla.ac.uk/116501/7/116501.pdf" TargetMode="External"/><Relationship Id="rId18" Type="http://schemas.openxmlformats.org/officeDocument/2006/relationships/hyperlink" Target="https://www.gsdrc.org/wp-content/uploads/2016/03/Unpacking_Participation_models_meanings.pdf" TargetMode="External"/><Relationship Id="rId3" Type="http://schemas.openxmlformats.org/officeDocument/2006/relationships/settings" Target="settings.xml"/><Relationship Id="rId21" Type="http://schemas.openxmlformats.org/officeDocument/2006/relationships/hyperlink" Target="https://journals.sagepub.com/doi/10.1177/0950017017695042" TargetMode="External"/><Relationship Id="rId7" Type="http://schemas.openxmlformats.org/officeDocument/2006/relationships/hyperlink" Target="https://pdxscholar.library.pdx.edu/usp_fac/93/?utm_source=openai" TargetMode="External"/><Relationship Id="rId12" Type="http://schemas.openxmlformats.org/officeDocument/2006/relationships/hyperlink" Target="https://journals.sagepub.com/doi/10.1177/0950017017695042" TargetMode="External"/><Relationship Id="rId17" Type="http://schemas.openxmlformats.org/officeDocument/2006/relationships/hyperlink" Target="https://escholarship.org/content/qt5sn1795g/qt5sn1795g.pdf?utm_source=openai"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pdxscholar.library.pdx.edu/usp_fac/93/?utm_source=openai" TargetMode="External"/><Relationship Id="rId20" Type="http://schemas.openxmlformats.org/officeDocument/2006/relationships/hyperlink" Target="https://eprints.gla.ac.uk/116501/7/116501.pdf"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researchgate.net/publication/260948130_Actors_and_networks_in_urban_community_garden_development"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bpb-us-e2.wpmucdn.com/sites.middlebury.edu/dist/5/2393/files/2014/02/anti12077.pdf" TargetMode="External"/><Relationship Id="rId23" Type="http://schemas.openxmlformats.org/officeDocument/2006/relationships/footer" Target="footer1.xml"/><Relationship Id="rId10" Type="http://schemas.openxmlformats.org/officeDocument/2006/relationships/hyperlink" Target="https://bpb-us-e2.wpmucdn.com/sites.middlebury.edu/dist/5/2393/files/2014/02/anti12077.pdf" TargetMode="External"/><Relationship Id="rId19" Type="http://schemas.openxmlformats.org/officeDocument/2006/relationships/hyperlink" Target="https://sidoli.w.waseda.jp/Haraway_1988_Situated_Knowledges_The_Science_Question_in_Feminism.pdf" TargetMode="External"/><Relationship Id="rId4" Type="http://schemas.openxmlformats.org/officeDocument/2006/relationships/webSettings" Target="webSettings.xml"/><Relationship Id="rId9" Type="http://schemas.openxmlformats.org/officeDocument/2006/relationships/hyperlink" Target="https://bpb-us-e2.wpmucdn.com/sites.middlebury.edu/dist/5/2393/files/2014/02/anti12077.pdf" TargetMode="External"/><Relationship Id="rId14" Type="http://schemas.openxmlformats.org/officeDocument/2006/relationships/hyperlink" Target="https://journals.sagepub.com/doi/10.1177/0950017017695042" TargetMode="External"/><Relationship Id="rId22" Type="http://schemas.openxmlformats.org/officeDocument/2006/relationships/hyperlink" Target="https://sidoli.w.waseda.jp/Haraway_1988_Situated_Knowledges_The_Science_Question_in_Feminism.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d465f887-04a9-4c17-8b62-103eddccf68b}" enabled="1" method="Standard" siteId="{ca2a7f76-dbd7-4ec0-9108-6b3d524fb7c8}" contentBits="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9</Pages>
  <Words>3523</Words>
  <Characters>20087</Characters>
  <Application>Microsoft Office Word</Application>
  <DocSecurity>4</DocSecurity>
  <Lines>167</Lines>
  <Paragraphs>47</Paragraphs>
  <ScaleCrop>false</ScaleCrop>
  <Company/>
  <LinksUpToDate>false</LinksUpToDate>
  <CharactersWithSpaces>23563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Beyond the Productive Volunteer: Community Gardening, Citizenship and Conditional Inclusion in Milwaukee and Glasgow</dc:title>
  <dc:creator>AcadAI Authentis</dc:creator>
  <dc:description>AVC 1caed5ed-4bf5-418d-a243-443a5623eac6 V3</dc:description>
  <cp:lastModifiedBy>Marc Cleiren</cp:lastModifiedBy>
  <cp:revision>2</cp:revision>
  <dcterms:created xsi:type="dcterms:W3CDTF">2026-09-20T13:07:00Z</dcterms:created>
  <dcterms:modified xsi:type="dcterms:W3CDTF">2026-09-20T13:07:00Z</dcterms:modified>
</cp:coreProperties>
</file>