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16C38B" w14:textId="77777777" w:rsidR="00867F83" w:rsidRPr="004F6DB7" w:rsidRDefault="00867F83" w:rsidP="00867F83">
      <w:pPr>
        <w:jc w:val="center"/>
        <w:rPr>
          <w:rFonts w:ascii="Calibri" w:eastAsia="Calibri" w:hAnsi="Calibri" w:cs="Calibri"/>
          <w:b/>
          <w:bCs/>
          <w:i/>
          <w:iCs/>
          <w:color w:val="57AF31"/>
          <w:sz w:val="24"/>
          <w:szCs w:val="24"/>
          <w:lang w:val="en-GB"/>
        </w:rPr>
      </w:pPr>
      <w:r w:rsidRPr="004F6DB7">
        <w:rPr>
          <w:rFonts w:ascii="Calibri" w:eastAsia="Calibri" w:hAnsi="Calibri" w:cs="Calibri"/>
          <w:b/>
          <w:bCs/>
          <w:i/>
          <w:iCs/>
          <w:color w:val="57AF31"/>
          <w:sz w:val="24"/>
          <w:szCs w:val="24"/>
          <w:lang w:val="en-GB"/>
        </w:rPr>
        <w:t>The assessment committee wishes you every success with your application!</w:t>
      </w:r>
    </w:p>
    <w:p w14:paraId="6A587F90" w14:textId="77777777" w:rsidR="00867F83" w:rsidRPr="004F6DB7" w:rsidRDefault="00867F83" w:rsidP="00867F83">
      <w:pPr>
        <w:jc w:val="center"/>
        <w:rPr>
          <w:sz w:val="21"/>
          <w:szCs w:val="21"/>
          <w:lang w:val="en-GB"/>
        </w:rPr>
      </w:pPr>
      <w:r w:rsidRPr="004F6DB7">
        <w:rPr>
          <w:rFonts w:ascii="Candara" w:eastAsia="Candara" w:hAnsi="Candara" w:cs="Candara"/>
          <w:color w:val="57AF31"/>
          <w:sz w:val="52"/>
          <w:szCs w:val="52"/>
          <w:lang w:val="en-GB"/>
        </w:rPr>
        <w:t>Application and assessment form Grassroots and -shoots projects FSW</w:t>
      </w:r>
    </w:p>
    <w:p w14:paraId="6C257B37" w14:textId="611C1672" w:rsidR="00B7502D" w:rsidRPr="004F6DB7" w:rsidRDefault="00867F83" w:rsidP="00A92259">
      <w:pPr>
        <w:jc w:val="center"/>
        <w:rPr>
          <w:rFonts w:eastAsia="Candara" w:cstheme="minorHAnsi"/>
          <w:b/>
          <w:bCs/>
          <w:color w:val="000000" w:themeColor="text1"/>
          <w:lang w:val="en-GB"/>
        </w:rPr>
      </w:pPr>
      <w:r w:rsidRPr="004F6DB7">
        <w:rPr>
          <w:rFonts w:eastAsia="Candara" w:cstheme="minorHAnsi"/>
          <w:b/>
          <w:bCs/>
          <w:color w:val="000000" w:themeColor="text1"/>
          <w:lang w:val="en-GB"/>
        </w:rPr>
        <w:t>For the guide accompanying this application form, see the second half of the document.</w:t>
      </w:r>
    </w:p>
    <w:tbl>
      <w:tblPr>
        <w:tblStyle w:val="TableGrid"/>
        <w:tblW w:w="9225" w:type="dxa"/>
        <w:tblBorders>
          <w:top w:val="dotted" w:sz="12" w:space="0" w:color="A8D08D" w:themeColor="accent6" w:themeTint="99"/>
          <w:left w:val="dotted" w:sz="12" w:space="0" w:color="A8D08D" w:themeColor="accent6" w:themeTint="99"/>
          <w:bottom w:val="dotted" w:sz="12" w:space="0" w:color="A8D08D" w:themeColor="accent6" w:themeTint="99"/>
          <w:right w:val="dotted" w:sz="12" w:space="0" w:color="A8D08D" w:themeColor="accent6" w:themeTint="99"/>
          <w:insideH w:val="dotted" w:sz="12" w:space="0" w:color="A8D08D" w:themeColor="accent6" w:themeTint="99"/>
          <w:insideV w:val="dotted" w:sz="12" w:space="0" w:color="A8D08D" w:themeColor="accent6" w:themeTint="99"/>
        </w:tblBorders>
        <w:tblLayout w:type="fixed"/>
        <w:tblLook w:val="06A0" w:firstRow="1" w:lastRow="0" w:firstColumn="1" w:lastColumn="0" w:noHBand="1" w:noVBand="1"/>
      </w:tblPr>
      <w:tblGrid>
        <w:gridCol w:w="552"/>
        <w:gridCol w:w="15"/>
        <w:gridCol w:w="2962"/>
        <w:gridCol w:w="5696"/>
      </w:tblGrid>
      <w:tr w:rsidR="00867F83" w:rsidRPr="004F6DB7" w14:paraId="49EB88A4" w14:textId="77777777" w:rsidTr="00167D4C">
        <w:trPr>
          <w:trHeight w:val="375"/>
        </w:trPr>
        <w:tc>
          <w:tcPr>
            <w:tcW w:w="552" w:type="dxa"/>
            <w:tcBorders>
              <w:top w:val="nil"/>
              <w:left w:val="nil"/>
              <w:bottom w:val="nil"/>
              <w:right w:val="nil"/>
            </w:tcBorders>
            <w:shd w:val="clear" w:color="auto" w:fill="297E2D"/>
          </w:tcPr>
          <w:p w14:paraId="18D42417" w14:textId="77777777" w:rsidR="00867F83" w:rsidRPr="004F6DB7" w:rsidRDefault="00867F83" w:rsidP="00167D4C">
            <w:pPr>
              <w:jc w:val="right"/>
              <w:rPr>
                <w:lang w:val="en-GB"/>
              </w:rPr>
            </w:pPr>
          </w:p>
        </w:tc>
        <w:tc>
          <w:tcPr>
            <w:tcW w:w="2977" w:type="dxa"/>
            <w:gridSpan w:val="2"/>
            <w:tcBorders>
              <w:top w:val="nil"/>
              <w:left w:val="nil"/>
              <w:bottom w:val="nil"/>
              <w:right w:val="nil"/>
            </w:tcBorders>
            <w:shd w:val="clear" w:color="auto" w:fill="297E2D"/>
          </w:tcPr>
          <w:p w14:paraId="1D7954E2" w14:textId="77777777" w:rsidR="00867F83" w:rsidRPr="004F6DB7" w:rsidRDefault="00867F83" w:rsidP="00167D4C">
            <w:pPr>
              <w:rPr>
                <w:lang w:val="en-GB"/>
              </w:rPr>
            </w:pPr>
            <w:r w:rsidRPr="004F6DB7">
              <w:rPr>
                <w:rFonts w:ascii="Candara" w:eastAsia="Candara" w:hAnsi="Candara" w:cs="Candara"/>
                <w:color w:val="FFFFFF" w:themeColor="background1"/>
                <w:sz w:val="28"/>
                <w:szCs w:val="28"/>
                <w:lang w:val="en-GB"/>
              </w:rPr>
              <w:t>Assessment criterion</w:t>
            </w:r>
          </w:p>
        </w:tc>
        <w:tc>
          <w:tcPr>
            <w:tcW w:w="5696" w:type="dxa"/>
            <w:tcBorders>
              <w:top w:val="nil"/>
              <w:left w:val="nil"/>
              <w:bottom w:val="nil"/>
              <w:right w:val="nil"/>
            </w:tcBorders>
            <w:shd w:val="clear" w:color="auto" w:fill="297E2D"/>
          </w:tcPr>
          <w:p w14:paraId="52BA235D" w14:textId="77777777" w:rsidR="00867F83" w:rsidRPr="004F6DB7" w:rsidRDefault="00867F83" w:rsidP="00167D4C">
            <w:pPr>
              <w:rPr>
                <w:lang w:val="en-GB"/>
              </w:rPr>
            </w:pPr>
            <w:r w:rsidRPr="004F6DB7">
              <w:rPr>
                <w:rFonts w:ascii="Candara" w:eastAsia="Candara" w:hAnsi="Candara" w:cs="Candara"/>
                <w:color w:val="FFFFFF" w:themeColor="background1"/>
                <w:sz w:val="28"/>
                <w:szCs w:val="28"/>
                <w:lang w:val="en-GB"/>
              </w:rPr>
              <w:t>Description</w:t>
            </w:r>
          </w:p>
        </w:tc>
      </w:tr>
      <w:tr w:rsidR="00867F83" w:rsidRPr="00951111" w14:paraId="0E585FFE" w14:textId="77777777" w:rsidTr="00E44207">
        <w:trPr>
          <w:cantSplit/>
          <w:trHeight w:val="1934"/>
        </w:trPr>
        <w:tc>
          <w:tcPr>
            <w:tcW w:w="567" w:type="dxa"/>
            <w:gridSpan w:val="2"/>
            <w:tcBorders>
              <w:top w:val="nil"/>
              <w:left w:val="dotted" w:sz="12" w:space="0" w:color="A8D08D" w:themeColor="accent6" w:themeTint="99"/>
              <w:bottom w:val="dotted" w:sz="12" w:space="0" w:color="A8D08D" w:themeColor="accent6" w:themeTint="99"/>
            </w:tcBorders>
            <w:textDirection w:val="btLr"/>
          </w:tcPr>
          <w:p w14:paraId="6BE5DDF5" w14:textId="77777777" w:rsidR="00867F83" w:rsidRPr="004F6DB7" w:rsidRDefault="00867F83" w:rsidP="00167D4C">
            <w:pPr>
              <w:ind w:left="113" w:right="113"/>
              <w:jc w:val="right"/>
              <w:rPr>
                <w:lang w:val="en-GB"/>
              </w:rPr>
            </w:pPr>
            <w:r w:rsidRPr="004F6DB7">
              <w:rPr>
                <w:rFonts w:ascii="Candara" w:eastAsia="Candara" w:hAnsi="Candara" w:cs="Candara"/>
                <w:color w:val="297E2D"/>
                <w:sz w:val="28"/>
                <w:szCs w:val="28"/>
                <w:lang w:val="en-GB"/>
              </w:rPr>
              <w:t>Applicant</w:t>
            </w:r>
          </w:p>
        </w:tc>
        <w:tc>
          <w:tcPr>
            <w:tcW w:w="2962" w:type="dxa"/>
            <w:tcBorders>
              <w:top w:val="nil"/>
            </w:tcBorders>
          </w:tcPr>
          <w:p w14:paraId="6C80ECCC" w14:textId="77777777" w:rsidR="00867F83" w:rsidRPr="004F6DB7" w:rsidRDefault="00867F83" w:rsidP="00167D4C">
            <w:pPr>
              <w:rPr>
                <w:sz w:val="21"/>
                <w:szCs w:val="21"/>
                <w:lang w:val="en-GB"/>
              </w:rPr>
            </w:pPr>
            <w:r w:rsidRPr="004F6DB7">
              <w:rPr>
                <w:rFonts w:ascii="Candara" w:eastAsia="Candara" w:hAnsi="Candara" w:cs="Candara"/>
                <w:color w:val="57AF31"/>
                <w:sz w:val="21"/>
                <w:szCs w:val="21"/>
                <w:lang w:val="en-GB"/>
              </w:rPr>
              <w:t xml:space="preserve">1. Personalia: </w:t>
            </w:r>
            <w:r w:rsidRPr="004F6DB7">
              <w:rPr>
                <w:rFonts w:ascii="Candara" w:eastAsia="Candara" w:hAnsi="Candara" w:cs="Candara"/>
                <w:sz w:val="21"/>
                <w:szCs w:val="21"/>
                <w:lang w:val="en-GB"/>
              </w:rPr>
              <w:t>indicate who is submitting the application, the role in which the applicant is doing so, the course(s) for which an application is being submitted, and the individuals who have a role in the project.</w:t>
            </w:r>
          </w:p>
        </w:tc>
        <w:tc>
          <w:tcPr>
            <w:tcW w:w="5696" w:type="dxa"/>
            <w:tcBorders>
              <w:top w:val="nil"/>
            </w:tcBorders>
          </w:tcPr>
          <w:p w14:paraId="6392B5E1" w14:textId="4F28F0D9" w:rsidR="00867F83" w:rsidRPr="004F6DB7" w:rsidRDefault="00867F83" w:rsidP="00167D4C">
            <w:pPr>
              <w:rPr>
                <w:lang w:val="en-GB"/>
              </w:rPr>
            </w:pPr>
          </w:p>
        </w:tc>
      </w:tr>
      <w:tr w:rsidR="00867F83" w:rsidRPr="004F6DB7" w14:paraId="3BF1B46C" w14:textId="77777777" w:rsidTr="00E44207">
        <w:trPr>
          <w:trHeight w:val="679"/>
        </w:trPr>
        <w:tc>
          <w:tcPr>
            <w:tcW w:w="567" w:type="dxa"/>
            <w:gridSpan w:val="2"/>
            <w:vMerge w:val="restart"/>
            <w:tcBorders>
              <w:top w:val="dotted" w:sz="12" w:space="0" w:color="A8D08D" w:themeColor="accent6" w:themeTint="99"/>
              <w:left w:val="dotted" w:sz="12" w:space="0" w:color="A8D08D" w:themeColor="accent6" w:themeTint="99"/>
              <w:bottom w:val="nil"/>
            </w:tcBorders>
            <w:textDirection w:val="btLr"/>
          </w:tcPr>
          <w:p w14:paraId="6F675249" w14:textId="77777777" w:rsidR="00867F83" w:rsidRPr="004F6DB7" w:rsidRDefault="00867F83" w:rsidP="00167D4C">
            <w:pPr>
              <w:ind w:left="113" w:right="113"/>
              <w:jc w:val="right"/>
              <w:rPr>
                <w:lang w:val="en-GB"/>
              </w:rPr>
            </w:pPr>
            <w:r w:rsidRPr="004F6DB7">
              <w:rPr>
                <w:rFonts w:ascii="Candara" w:eastAsia="Candara" w:hAnsi="Candara" w:cs="Candara"/>
                <w:color w:val="297E2D"/>
                <w:sz w:val="28"/>
                <w:szCs w:val="28"/>
                <w:lang w:val="en-GB"/>
              </w:rPr>
              <w:t>Educational Issue</w:t>
            </w:r>
          </w:p>
          <w:p w14:paraId="69CCB181" w14:textId="77777777" w:rsidR="00867F83" w:rsidRPr="004F6DB7" w:rsidRDefault="00867F83" w:rsidP="00167D4C">
            <w:pPr>
              <w:ind w:right="113" w:firstLine="708"/>
              <w:jc w:val="right"/>
              <w:rPr>
                <w:lang w:val="en-GB"/>
              </w:rPr>
            </w:pPr>
            <w:r w:rsidRPr="004F6DB7">
              <w:rPr>
                <w:rFonts w:ascii="Candara" w:eastAsia="Candara" w:hAnsi="Candara" w:cs="Candara"/>
                <w:color w:val="297E2D"/>
                <w:sz w:val="28"/>
                <w:szCs w:val="28"/>
                <w:lang w:val="en-GB"/>
              </w:rPr>
              <w:t xml:space="preserve"> </w:t>
            </w:r>
          </w:p>
        </w:tc>
        <w:tc>
          <w:tcPr>
            <w:tcW w:w="2962" w:type="dxa"/>
          </w:tcPr>
          <w:p w14:paraId="6CC28CC9" w14:textId="77777777" w:rsidR="00867F83" w:rsidRPr="004F6DB7" w:rsidRDefault="00867F83" w:rsidP="00167D4C">
            <w:pPr>
              <w:rPr>
                <w:sz w:val="21"/>
                <w:szCs w:val="21"/>
                <w:lang w:val="en-GB"/>
              </w:rPr>
            </w:pPr>
            <w:r w:rsidRPr="004F6DB7">
              <w:rPr>
                <w:rFonts w:ascii="Candara" w:eastAsia="Candara" w:hAnsi="Candara" w:cs="Candara"/>
                <w:color w:val="57AF31"/>
                <w:sz w:val="21"/>
                <w:szCs w:val="21"/>
                <w:lang w:val="en-GB"/>
              </w:rPr>
              <w:t xml:space="preserve">2. Chosen innovation: </w:t>
            </w:r>
            <w:r w:rsidRPr="004F6DB7">
              <w:rPr>
                <w:rFonts w:ascii="Candara" w:eastAsia="Candara" w:hAnsi="Candara" w:cs="Candara"/>
                <w:sz w:val="21"/>
                <w:szCs w:val="21"/>
                <w:lang w:val="en-GB"/>
              </w:rPr>
              <w:t>describe the proposed innovation and describe where the innovation connects to a challenge, opportunity, or problem in education.</w:t>
            </w:r>
          </w:p>
        </w:tc>
        <w:tc>
          <w:tcPr>
            <w:tcW w:w="5696" w:type="dxa"/>
          </w:tcPr>
          <w:p w14:paraId="55DDE046" w14:textId="78F41F42" w:rsidR="007E51B3" w:rsidRPr="004F6DB7" w:rsidRDefault="007E51B3" w:rsidP="00167D4C">
            <w:pPr>
              <w:rPr>
                <w:lang w:val="en-GB"/>
              </w:rPr>
            </w:pPr>
          </w:p>
        </w:tc>
      </w:tr>
      <w:tr w:rsidR="00867F83" w:rsidRPr="004F6DB7" w14:paraId="677ED5FC" w14:textId="77777777" w:rsidTr="00E44207">
        <w:trPr>
          <w:trHeight w:val="1335"/>
        </w:trPr>
        <w:tc>
          <w:tcPr>
            <w:tcW w:w="567" w:type="dxa"/>
            <w:gridSpan w:val="2"/>
            <w:vMerge/>
            <w:textDirection w:val="btLr"/>
            <w:vAlign w:val="center"/>
          </w:tcPr>
          <w:p w14:paraId="42A368A7" w14:textId="77777777" w:rsidR="00867F83" w:rsidRPr="004F6DB7" w:rsidRDefault="00867F83" w:rsidP="00167D4C">
            <w:pPr>
              <w:ind w:left="113" w:right="113"/>
              <w:rPr>
                <w:lang w:val="en-GB"/>
              </w:rPr>
            </w:pPr>
          </w:p>
        </w:tc>
        <w:tc>
          <w:tcPr>
            <w:tcW w:w="2962" w:type="dxa"/>
            <w:tcBorders>
              <w:bottom w:val="dotted" w:sz="12" w:space="0" w:color="A8D08D" w:themeColor="accent6" w:themeTint="99"/>
            </w:tcBorders>
          </w:tcPr>
          <w:p w14:paraId="11F2AB35" w14:textId="77777777" w:rsidR="00867F83" w:rsidRPr="004F6DB7" w:rsidRDefault="00867F83" w:rsidP="00167D4C">
            <w:pPr>
              <w:rPr>
                <w:rFonts w:ascii="Candara" w:eastAsia="Candara" w:hAnsi="Candara" w:cs="Candara"/>
                <w:i/>
                <w:iCs/>
                <w:sz w:val="21"/>
                <w:szCs w:val="21"/>
                <w:highlight w:val="yellow"/>
                <w:lang w:val="en-GB"/>
              </w:rPr>
            </w:pPr>
            <w:r w:rsidRPr="004F6DB7">
              <w:rPr>
                <w:rFonts w:ascii="Candara" w:eastAsia="Candara" w:hAnsi="Candara" w:cs="Candara"/>
                <w:color w:val="57AF31"/>
                <w:sz w:val="21"/>
                <w:szCs w:val="21"/>
                <w:lang w:val="en-GB"/>
              </w:rPr>
              <w:t xml:space="preserve">3. Argumentation: </w:t>
            </w:r>
            <w:r w:rsidRPr="004F6DB7">
              <w:rPr>
                <w:rFonts w:ascii="Candara" w:eastAsia="Candara" w:hAnsi="Candara" w:cs="Candara"/>
                <w:color w:val="000000" w:themeColor="text1"/>
                <w:sz w:val="21"/>
                <w:szCs w:val="21"/>
                <w:lang w:val="en-GB"/>
              </w:rPr>
              <w:t>explain why this innovation is the best fit for your education, i.e. make the theory of change explicit (why and in what way will this innovation contribute to your education?).</w:t>
            </w:r>
          </w:p>
        </w:tc>
        <w:tc>
          <w:tcPr>
            <w:tcW w:w="5696" w:type="dxa"/>
          </w:tcPr>
          <w:p w14:paraId="591A781D" w14:textId="574A86C6" w:rsidR="007E51B3" w:rsidRPr="004F6DB7" w:rsidRDefault="007E51B3" w:rsidP="007E51B3">
            <w:pPr>
              <w:rPr>
                <w:rFonts w:ascii="Candara" w:eastAsia="Candara" w:hAnsi="Candara" w:cs="Candara"/>
                <w:sz w:val="20"/>
                <w:szCs w:val="20"/>
                <w:lang w:val="en-GB"/>
              </w:rPr>
            </w:pPr>
          </w:p>
        </w:tc>
      </w:tr>
      <w:tr w:rsidR="00867F83" w:rsidRPr="004F6DB7" w14:paraId="21A68D45" w14:textId="77777777" w:rsidTr="00E44207">
        <w:trPr>
          <w:cantSplit/>
          <w:trHeight w:val="978"/>
        </w:trPr>
        <w:tc>
          <w:tcPr>
            <w:tcW w:w="567" w:type="dxa"/>
            <w:gridSpan w:val="2"/>
            <w:tcBorders>
              <w:top w:val="nil"/>
              <w:left w:val="dotted" w:sz="12" w:space="0" w:color="A8D08D" w:themeColor="accent6" w:themeTint="99"/>
              <w:bottom w:val="dotted" w:sz="12" w:space="0" w:color="A8D08D" w:themeColor="accent6" w:themeTint="99"/>
            </w:tcBorders>
            <w:textDirection w:val="btLr"/>
          </w:tcPr>
          <w:p w14:paraId="07E42281" w14:textId="77777777" w:rsidR="00867F83" w:rsidRPr="004F6DB7" w:rsidRDefault="00867F83" w:rsidP="00167D4C">
            <w:pPr>
              <w:ind w:left="113" w:right="113"/>
              <w:jc w:val="right"/>
              <w:rPr>
                <w:lang w:val="en-GB"/>
              </w:rPr>
            </w:pPr>
            <w:r w:rsidRPr="004F6DB7">
              <w:rPr>
                <w:rFonts w:ascii="Candara" w:eastAsia="Candara" w:hAnsi="Candara" w:cs="Candara"/>
                <w:color w:val="297E2D"/>
                <w:sz w:val="28"/>
                <w:szCs w:val="28"/>
                <w:lang w:val="en-GB"/>
              </w:rPr>
              <w:t>Context</w:t>
            </w:r>
          </w:p>
        </w:tc>
        <w:tc>
          <w:tcPr>
            <w:tcW w:w="2962" w:type="dxa"/>
            <w:tcBorders>
              <w:bottom w:val="dotted" w:sz="12" w:space="0" w:color="A8D08D" w:themeColor="accent6" w:themeTint="99"/>
            </w:tcBorders>
          </w:tcPr>
          <w:p w14:paraId="25BF2B87" w14:textId="77777777" w:rsidR="00867F83" w:rsidRPr="004F6DB7" w:rsidRDefault="00867F83" w:rsidP="00167D4C">
            <w:pPr>
              <w:rPr>
                <w:rFonts w:ascii="Candara" w:eastAsia="Candara" w:hAnsi="Candara" w:cs="Candara"/>
                <w:sz w:val="21"/>
                <w:szCs w:val="21"/>
                <w:lang w:val="en-GB"/>
              </w:rPr>
            </w:pPr>
            <w:r w:rsidRPr="004F6DB7">
              <w:rPr>
                <w:rFonts w:ascii="Candara" w:eastAsia="Candara" w:hAnsi="Candara" w:cs="Candara"/>
                <w:color w:val="57AF31"/>
                <w:sz w:val="21"/>
                <w:szCs w:val="21"/>
                <w:lang w:val="en-GB"/>
              </w:rPr>
              <w:t xml:space="preserve">4. Policy: </w:t>
            </w:r>
            <w:r w:rsidRPr="004F6DB7">
              <w:rPr>
                <w:rFonts w:ascii="Candara" w:eastAsia="Candara" w:hAnsi="Candara" w:cs="Candara"/>
                <w:sz w:val="21"/>
                <w:szCs w:val="21"/>
                <w:lang w:val="en-GB"/>
              </w:rPr>
              <w:t>Describe how the project fits within the faculty's educational innovation policy.</w:t>
            </w:r>
          </w:p>
          <w:p w14:paraId="560C6F4D" w14:textId="77777777" w:rsidR="00E44207" w:rsidRPr="004F6DB7" w:rsidRDefault="00E44207" w:rsidP="00167D4C">
            <w:pPr>
              <w:rPr>
                <w:sz w:val="21"/>
                <w:szCs w:val="21"/>
                <w:lang w:val="en-GB"/>
              </w:rPr>
            </w:pPr>
          </w:p>
        </w:tc>
        <w:tc>
          <w:tcPr>
            <w:tcW w:w="5696" w:type="dxa"/>
          </w:tcPr>
          <w:p w14:paraId="3616BEE8" w14:textId="719534DD" w:rsidR="007E51B3" w:rsidRPr="004F6DB7" w:rsidRDefault="007E51B3" w:rsidP="00167D4C">
            <w:pPr>
              <w:rPr>
                <w:lang w:val="en-GB"/>
              </w:rPr>
            </w:pPr>
          </w:p>
        </w:tc>
      </w:tr>
      <w:tr w:rsidR="00867F83" w:rsidRPr="004F6DB7" w14:paraId="4986FE36" w14:textId="77777777" w:rsidTr="00E44207">
        <w:trPr>
          <w:trHeight w:val="47"/>
        </w:trPr>
        <w:tc>
          <w:tcPr>
            <w:tcW w:w="567" w:type="dxa"/>
            <w:gridSpan w:val="2"/>
            <w:vMerge w:val="restart"/>
            <w:tcBorders>
              <w:top w:val="dotted" w:sz="12" w:space="0" w:color="A8D08D" w:themeColor="accent6" w:themeTint="99"/>
              <w:left w:val="dotted" w:sz="12" w:space="0" w:color="A8D08D" w:themeColor="accent6" w:themeTint="99"/>
              <w:bottom w:val="nil"/>
              <w:right w:val="dotted" w:sz="12" w:space="0" w:color="A8D08D" w:themeColor="accent6" w:themeTint="99"/>
            </w:tcBorders>
            <w:textDirection w:val="btLr"/>
          </w:tcPr>
          <w:p w14:paraId="0D865262" w14:textId="77777777" w:rsidR="00867F83" w:rsidRPr="004F6DB7" w:rsidRDefault="00867F83" w:rsidP="00167D4C">
            <w:pPr>
              <w:ind w:left="113" w:right="113"/>
              <w:jc w:val="right"/>
              <w:rPr>
                <w:lang w:val="en-GB"/>
              </w:rPr>
            </w:pPr>
            <w:r w:rsidRPr="004F6DB7">
              <w:rPr>
                <w:rFonts w:ascii="Candara" w:eastAsia="Candara" w:hAnsi="Candara" w:cs="Candara"/>
                <w:color w:val="297E2D"/>
                <w:sz w:val="28"/>
                <w:szCs w:val="28"/>
                <w:lang w:val="en-GB"/>
              </w:rPr>
              <w:t>Project development</w:t>
            </w:r>
          </w:p>
        </w:tc>
        <w:tc>
          <w:tcPr>
            <w:tcW w:w="2962" w:type="dxa"/>
            <w:tcBorders>
              <w:top w:val="dotted" w:sz="12" w:space="0" w:color="A8D08D" w:themeColor="accent6" w:themeTint="99"/>
              <w:left w:val="dotted" w:sz="12" w:space="0" w:color="A8D08D" w:themeColor="accent6" w:themeTint="99"/>
            </w:tcBorders>
          </w:tcPr>
          <w:p w14:paraId="13A6E980" w14:textId="6684005E" w:rsidR="00867F83" w:rsidRPr="004F6DB7" w:rsidRDefault="00867F83" w:rsidP="00E44207">
            <w:pPr>
              <w:rPr>
                <w:sz w:val="21"/>
                <w:szCs w:val="21"/>
                <w:lang w:val="en-GB"/>
              </w:rPr>
            </w:pPr>
            <w:r w:rsidRPr="004F6DB7">
              <w:rPr>
                <w:rFonts w:ascii="Candara" w:eastAsia="Candara" w:hAnsi="Candara" w:cs="Candara"/>
                <w:color w:val="57AF31"/>
                <w:sz w:val="21"/>
                <w:szCs w:val="21"/>
                <w:lang w:val="en-GB"/>
              </w:rPr>
              <w:t xml:space="preserve">5. Planning: </w:t>
            </w:r>
            <w:r w:rsidRPr="004F6DB7">
              <w:rPr>
                <w:rFonts w:ascii="Candara" w:eastAsia="Candara" w:hAnsi="Candara" w:cs="Candara"/>
                <w:lang w:val="en-GB"/>
              </w:rPr>
              <w:t xml:space="preserve">Briefly outline the planned course of the project, including preparation and evaluation.  </w:t>
            </w:r>
          </w:p>
        </w:tc>
        <w:tc>
          <w:tcPr>
            <w:tcW w:w="5696" w:type="dxa"/>
          </w:tcPr>
          <w:p w14:paraId="6D2BEF44" w14:textId="3B008A0F" w:rsidR="007E51B3" w:rsidRPr="004F6DB7" w:rsidRDefault="007E51B3" w:rsidP="00B7502D">
            <w:pPr>
              <w:rPr>
                <w:lang w:val="en-GB"/>
              </w:rPr>
            </w:pPr>
          </w:p>
        </w:tc>
      </w:tr>
      <w:tr w:rsidR="00867F83" w:rsidRPr="004F6DB7" w14:paraId="2E30CD23" w14:textId="77777777" w:rsidTr="00E44207">
        <w:trPr>
          <w:trHeight w:val="538"/>
        </w:trPr>
        <w:tc>
          <w:tcPr>
            <w:tcW w:w="567" w:type="dxa"/>
            <w:gridSpan w:val="2"/>
            <w:vMerge/>
            <w:textDirection w:val="btLr"/>
            <w:vAlign w:val="center"/>
          </w:tcPr>
          <w:p w14:paraId="5AD336DB" w14:textId="77777777" w:rsidR="00867F83" w:rsidRPr="004F6DB7" w:rsidRDefault="00867F83" w:rsidP="00167D4C">
            <w:pPr>
              <w:ind w:left="113" w:right="113"/>
              <w:rPr>
                <w:lang w:val="en-GB"/>
              </w:rPr>
            </w:pPr>
          </w:p>
        </w:tc>
        <w:tc>
          <w:tcPr>
            <w:tcW w:w="2962" w:type="dxa"/>
            <w:tcBorders>
              <w:left w:val="dotted" w:sz="12" w:space="0" w:color="A8D08D" w:themeColor="accent6" w:themeTint="99"/>
            </w:tcBorders>
          </w:tcPr>
          <w:p w14:paraId="73EC5635" w14:textId="77777777" w:rsidR="00867F83" w:rsidRPr="004F6DB7" w:rsidRDefault="00867F83" w:rsidP="00167D4C">
            <w:pPr>
              <w:rPr>
                <w:sz w:val="21"/>
                <w:szCs w:val="21"/>
                <w:lang w:val="en-GB"/>
              </w:rPr>
            </w:pPr>
            <w:r w:rsidRPr="004F6DB7">
              <w:rPr>
                <w:rFonts w:ascii="Candara" w:eastAsia="Candara" w:hAnsi="Candara" w:cs="Candara"/>
                <w:color w:val="57AF31"/>
                <w:sz w:val="21"/>
                <w:szCs w:val="21"/>
                <w:lang w:val="en-GB"/>
              </w:rPr>
              <w:t xml:space="preserve">6. </w:t>
            </w:r>
            <w:r w:rsidRPr="004F6DB7">
              <w:rPr>
                <w:rFonts w:ascii="Candara" w:eastAsia="Candara" w:hAnsi="Candara" w:cs="Candara"/>
                <w:color w:val="57AF31"/>
                <w:lang w:val="en-GB"/>
              </w:rPr>
              <w:t xml:space="preserve">Teaching practice: </w:t>
            </w:r>
            <w:r w:rsidRPr="004F6DB7">
              <w:rPr>
                <w:rFonts w:ascii="Candara" w:eastAsia="Candara" w:hAnsi="Candara" w:cs="Candara"/>
                <w:lang w:val="en-GB"/>
              </w:rPr>
              <w:t xml:space="preserve">Describe whether the project is feasible for faculty in terms </w:t>
            </w:r>
            <w:r w:rsidRPr="004F6DB7">
              <w:rPr>
                <w:rFonts w:ascii="Candara" w:eastAsia="Candara" w:hAnsi="Candara" w:cs="Candara"/>
                <w:lang w:val="en-GB"/>
              </w:rPr>
              <w:lastRenderedPageBreak/>
              <w:t>of hourly load and embedding in existing work.</w:t>
            </w:r>
          </w:p>
        </w:tc>
        <w:tc>
          <w:tcPr>
            <w:tcW w:w="5696" w:type="dxa"/>
          </w:tcPr>
          <w:p w14:paraId="36AD3757" w14:textId="1EBD38BE" w:rsidR="00B7502D" w:rsidRPr="004F6DB7" w:rsidRDefault="00B7502D" w:rsidP="00167D4C">
            <w:pPr>
              <w:rPr>
                <w:lang w:val="en-GB"/>
              </w:rPr>
            </w:pPr>
          </w:p>
        </w:tc>
      </w:tr>
      <w:tr w:rsidR="00867F83" w:rsidRPr="004F6DB7" w14:paraId="2C4AFE81" w14:textId="77777777" w:rsidTr="00167D4C">
        <w:trPr>
          <w:trHeight w:val="396"/>
        </w:trPr>
        <w:tc>
          <w:tcPr>
            <w:tcW w:w="567" w:type="dxa"/>
            <w:gridSpan w:val="2"/>
            <w:vMerge/>
            <w:textDirection w:val="btLr"/>
            <w:vAlign w:val="center"/>
          </w:tcPr>
          <w:p w14:paraId="213A8AF6" w14:textId="77777777" w:rsidR="00867F83" w:rsidRPr="004F6DB7" w:rsidRDefault="00867F83" w:rsidP="00167D4C">
            <w:pPr>
              <w:ind w:left="113" w:right="113"/>
              <w:rPr>
                <w:lang w:val="en-GB"/>
              </w:rPr>
            </w:pPr>
          </w:p>
        </w:tc>
        <w:tc>
          <w:tcPr>
            <w:tcW w:w="2962" w:type="dxa"/>
            <w:tcBorders>
              <w:left w:val="dotted" w:sz="12" w:space="0" w:color="A8D08D" w:themeColor="accent6" w:themeTint="99"/>
            </w:tcBorders>
          </w:tcPr>
          <w:p w14:paraId="2B1F2086" w14:textId="073D7F08" w:rsidR="00867F83" w:rsidRPr="004F6DB7" w:rsidRDefault="00867F83" w:rsidP="00167D4C">
            <w:pPr>
              <w:rPr>
                <w:lang w:val="en-GB"/>
              </w:rPr>
            </w:pPr>
            <w:r w:rsidRPr="004F6DB7">
              <w:rPr>
                <w:rFonts w:ascii="Candara" w:eastAsia="Candara" w:hAnsi="Candara" w:cs="Candara"/>
                <w:color w:val="57AF31"/>
                <w:sz w:val="21"/>
                <w:szCs w:val="21"/>
                <w:lang w:val="en-GB"/>
              </w:rPr>
              <w:t xml:space="preserve">7. Budget: </w:t>
            </w:r>
            <w:r w:rsidRPr="004F6DB7">
              <w:rPr>
                <w:rFonts w:ascii="Candara" w:eastAsia="Candara" w:hAnsi="Candara" w:cs="Candara"/>
                <w:lang w:val="en-GB"/>
              </w:rPr>
              <w:t xml:space="preserve">Describe how the budget will be spent. </w:t>
            </w:r>
            <w:r w:rsidRPr="004F6DB7">
              <w:rPr>
                <w:rFonts w:ascii="Candara" w:eastAsia="Candara" w:hAnsi="Candara" w:cs="Candara"/>
                <w:sz w:val="21"/>
                <w:szCs w:val="21"/>
                <w:lang w:val="en-GB"/>
              </w:rPr>
              <w:t xml:space="preserve"> </w:t>
            </w:r>
          </w:p>
        </w:tc>
        <w:tc>
          <w:tcPr>
            <w:tcW w:w="5696" w:type="dxa"/>
          </w:tcPr>
          <w:p w14:paraId="53B044C4" w14:textId="5C369BF3" w:rsidR="00867F83" w:rsidRPr="004F6DB7" w:rsidRDefault="00867F83" w:rsidP="008E4C3D">
            <w:pPr>
              <w:rPr>
                <w:lang w:val="en-GB"/>
              </w:rPr>
            </w:pPr>
          </w:p>
        </w:tc>
      </w:tr>
      <w:tr w:rsidR="00867F83" w:rsidRPr="004F6DB7" w14:paraId="325A6164" w14:textId="77777777" w:rsidTr="00E44207">
        <w:trPr>
          <w:trHeight w:val="1813"/>
        </w:trPr>
        <w:tc>
          <w:tcPr>
            <w:tcW w:w="567" w:type="dxa"/>
            <w:gridSpan w:val="2"/>
            <w:vMerge w:val="restart"/>
            <w:tcBorders>
              <w:top w:val="nil"/>
              <w:left w:val="dotted" w:sz="12" w:space="0" w:color="A8D08D" w:themeColor="accent6" w:themeTint="99"/>
              <w:bottom w:val="nil"/>
            </w:tcBorders>
            <w:textDirection w:val="btLr"/>
          </w:tcPr>
          <w:p w14:paraId="54125289" w14:textId="77777777" w:rsidR="00867F83" w:rsidRPr="004F6DB7" w:rsidRDefault="00867F83" w:rsidP="00167D4C">
            <w:pPr>
              <w:ind w:left="113" w:right="113"/>
              <w:jc w:val="right"/>
              <w:rPr>
                <w:lang w:val="en-GB"/>
              </w:rPr>
            </w:pPr>
            <w:r w:rsidRPr="004F6DB7">
              <w:rPr>
                <w:rFonts w:ascii="Candara" w:eastAsia="Candara" w:hAnsi="Candara" w:cs="Candara"/>
                <w:color w:val="297E2D"/>
                <w:sz w:val="28"/>
                <w:szCs w:val="28"/>
                <w:lang w:val="en-GB"/>
              </w:rPr>
              <w:t>Wrap-up</w:t>
            </w:r>
          </w:p>
        </w:tc>
        <w:tc>
          <w:tcPr>
            <w:tcW w:w="2962" w:type="dxa"/>
          </w:tcPr>
          <w:p w14:paraId="5DF52A09" w14:textId="77777777" w:rsidR="00867F83" w:rsidRPr="004F6DB7" w:rsidRDefault="00867F83" w:rsidP="00167D4C">
            <w:pPr>
              <w:rPr>
                <w:sz w:val="21"/>
                <w:szCs w:val="21"/>
                <w:lang w:val="en-GB"/>
              </w:rPr>
            </w:pPr>
            <w:r w:rsidRPr="004F6DB7">
              <w:rPr>
                <w:rFonts w:ascii="Candara" w:eastAsia="Candara" w:hAnsi="Candara" w:cs="Candara"/>
                <w:color w:val="57AF31"/>
                <w:sz w:val="21"/>
                <w:szCs w:val="21"/>
                <w:lang w:val="en-GB"/>
              </w:rPr>
              <w:t xml:space="preserve">8. Continuity: </w:t>
            </w:r>
            <w:r w:rsidRPr="004F6DB7">
              <w:rPr>
                <w:rFonts w:ascii="Candara" w:eastAsia="Candara" w:hAnsi="Candara" w:cs="Candara"/>
                <w:lang w:val="en-GB"/>
              </w:rPr>
              <w:t>Describe how the continuity of the innovation will be ensured after the project is completed.</w:t>
            </w:r>
          </w:p>
        </w:tc>
        <w:tc>
          <w:tcPr>
            <w:tcW w:w="5696" w:type="dxa"/>
          </w:tcPr>
          <w:p w14:paraId="262346A8" w14:textId="22D02628" w:rsidR="008E4C3D" w:rsidRPr="004F6DB7" w:rsidRDefault="008E4C3D" w:rsidP="00167D4C">
            <w:pPr>
              <w:rPr>
                <w:lang w:val="en-GB"/>
              </w:rPr>
            </w:pPr>
          </w:p>
        </w:tc>
      </w:tr>
      <w:tr w:rsidR="00867F83" w:rsidRPr="004F6DB7" w14:paraId="11C5E929" w14:textId="77777777" w:rsidTr="00A92259">
        <w:trPr>
          <w:trHeight w:val="679"/>
        </w:trPr>
        <w:tc>
          <w:tcPr>
            <w:tcW w:w="567" w:type="dxa"/>
            <w:gridSpan w:val="2"/>
            <w:vMerge/>
            <w:vAlign w:val="center"/>
          </w:tcPr>
          <w:p w14:paraId="5057024F" w14:textId="77777777" w:rsidR="00867F83" w:rsidRPr="004F6DB7" w:rsidRDefault="00867F83" w:rsidP="00167D4C">
            <w:pPr>
              <w:rPr>
                <w:lang w:val="en-GB"/>
              </w:rPr>
            </w:pPr>
          </w:p>
        </w:tc>
        <w:tc>
          <w:tcPr>
            <w:tcW w:w="2962" w:type="dxa"/>
          </w:tcPr>
          <w:p w14:paraId="35006764" w14:textId="77777777" w:rsidR="00867F83" w:rsidRPr="004F6DB7" w:rsidRDefault="00867F83" w:rsidP="00167D4C">
            <w:pPr>
              <w:rPr>
                <w:rFonts w:ascii="Candara" w:eastAsia="Candara" w:hAnsi="Candara" w:cs="Candara"/>
                <w:sz w:val="21"/>
                <w:szCs w:val="21"/>
                <w:lang w:val="en-GB"/>
              </w:rPr>
            </w:pPr>
            <w:r w:rsidRPr="004F6DB7">
              <w:rPr>
                <w:rFonts w:ascii="Candara" w:eastAsia="Candara" w:hAnsi="Candara" w:cs="Candara"/>
                <w:color w:val="57AF31"/>
                <w:sz w:val="21"/>
                <w:szCs w:val="21"/>
                <w:lang w:val="en-GB"/>
              </w:rPr>
              <w:t xml:space="preserve">9. Evaluation: </w:t>
            </w:r>
            <w:r w:rsidRPr="004F6DB7">
              <w:rPr>
                <w:rFonts w:ascii="Candara" w:eastAsia="Candara" w:hAnsi="Candara" w:cs="Candara"/>
                <w:sz w:val="21"/>
                <w:szCs w:val="21"/>
                <w:lang w:val="en-GB"/>
              </w:rPr>
              <w:t>Describe how the project will be evaluated based on your theory of change. In doing so, make explicit what your expected outcomes are and how you will establish that they have been met.</w:t>
            </w:r>
          </w:p>
          <w:p w14:paraId="6B8B473C" w14:textId="77777777" w:rsidR="00867F83" w:rsidRPr="004F6DB7" w:rsidRDefault="00867F83" w:rsidP="00167D4C">
            <w:pPr>
              <w:rPr>
                <w:sz w:val="21"/>
                <w:szCs w:val="21"/>
                <w:lang w:val="en-GB"/>
              </w:rPr>
            </w:pPr>
            <w:r w:rsidRPr="004F6DB7">
              <w:rPr>
                <w:rFonts w:ascii="Candara" w:eastAsia="Candara" w:hAnsi="Candara" w:cs="Candara"/>
                <w:sz w:val="21"/>
                <w:szCs w:val="21"/>
                <w:lang w:val="en-GB"/>
              </w:rPr>
              <w:t>Describe which indicators you will use and when and how you will carry out the measurement.</w:t>
            </w:r>
            <w:r w:rsidRPr="004F6DB7">
              <w:rPr>
                <w:rFonts w:ascii="Candara" w:eastAsia="Candara" w:hAnsi="Candara" w:cs="Candara"/>
                <w:i/>
                <w:iCs/>
                <w:sz w:val="21"/>
                <w:szCs w:val="21"/>
                <w:lang w:val="en-GB"/>
              </w:rPr>
              <w:t xml:space="preserve"> </w:t>
            </w:r>
          </w:p>
        </w:tc>
        <w:tc>
          <w:tcPr>
            <w:tcW w:w="5696" w:type="dxa"/>
          </w:tcPr>
          <w:p w14:paraId="2859A2C3" w14:textId="3F320CB2" w:rsidR="00867F83" w:rsidRPr="004F6DB7" w:rsidRDefault="00867F83" w:rsidP="00A92259">
            <w:pPr>
              <w:rPr>
                <w:i/>
                <w:iCs/>
                <w:sz w:val="20"/>
                <w:szCs w:val="20"/>
                <w:lang w:val="en-GB"/>
              </w:rPr>
            </w:pPr>
            <w:r w:rsidRPr="004F6DB7">
              <w:rPr>
                <w:rFonts w:ascii="Candara" w:eastAsia="Candara" w:hAnsi="Candara" w:cs="Candara"/>
                <w:i/>
                <w:iCs/>
                <w:sz w:val="20"/>
                <w:szCs w:val="20"/>
                <w:lang w:val="en-GB"/>
              </w:rPr>
              <w:t xml:space="preserve"> </w:t>
            </w:r>
          </w:p>
        </w:tc>
      </w:tr>
    </w:tbl>
    <w:p w14:paraId="77912613" w14:textId="77777777" w:rsidR="00867F83" w:rsidRPr="004F6DB7" w:rsidRDefault="00867F83" w:rsidP="00867F83">
      <w:pPr>
        <w:spacing w:line="253" w:lineRule="exact"/>
        <w:rPr>
          <w:lang w:val="en-GB"/>
        </w:rPr>
      </w:pPr>
      <w:r w:rsidRPr="004F6DB7">
        <w:rPr>
          <w:rFonts w:ascii="Calibri" w:eastAsia="Calibri" w:hAnsi="Calibri" w:cs="Calibri"/>
          <w:lang w:val="en-GB"/>
        </w:rPr>
        <w:t xml:space="preserve"> </w:t>
      </w:r>
    </w:p>
    <w:p w14:paraId="2DA60D36" w14:textId="4314F0C2" w:rsidR="00867F83" w:rsidRPr="004F6DB7" w:rsidRDefault="00867F83" w:rsidP="00867F83">
      <w:pPr>
        <w:spacing w:after="0" w:line="240" w:lineRule="auto"/>
        <w:ind w:left="720" w:hanging="720"/>
        <w:rPr>
          <w:rFonts w:ascii="Calibri" w:eastAsia="Calibri" w:hAnsi="Calibri" w:cs="Calibri"/>
          <w:lang w:val="en-GB"/>
        </w:rPr>
      </w:pPr>
      <w:r w:rsidRPr="004F6DB7">
        <w:rPr>
          <w:rFonts w:ascii="Calibri" w:eastAsia="Calibri" w:hAnsi="Calibri" w:cs="Calibri"/>
          <w:lang w:val="en-GB"/>
        </w:rPr>
        <w:br w:type="page"/>
      </w:r>
    </w:p>
    <w:p w14:paraId="0BDF41F7" w14:textId="77777777" w:rsidR="00867F83" w:rsidRPr="004F6DB7" w:rsidRDefault="00867F83" w:rsidP="00867F83">
      <w:pPr>
        <w:pStyle w:val="Heading1"/>
        <w:rPr>
          <w:rFonts w:asciiTheme="minorHAnsi" w:eastAsia="Calibri" w:hAnsiTheme="minorHAnsi" w:cstheme="minorHAnsi"/>
          <w:b/>
          <w:bCs/>
          <w:color w:val="56AF31"/>
          <w:sz w:val="36"/>
          <w:szCs w:val="36"/>
          <w:lang w:val="en-GB"/>
        </w:rPr>
      </w:pPr>
      <w:r w:rsidRPr="004F6DB7">
        <w:rPr>
          <w:rFonts w:asciiTheme="minorHAnsi" w:eastAsia="Calibri" w:hAnsiTheme="minorHAnsi" w:cstheme="minorHAnsi"/>
          <w:b/>
          <w:bCs/>
          <w:color w:val="56AF31"/>
          <w:sz w:val="36"/>
          <w:szCs w:val="36"/>
          <w:lang w:val="en-GB"/>
        </w:rPr>
        <w:lastRenderedPageBreak/>
        <w:t>Application form Grassroots or Grass Shoots</w:t>
      </w:r>
    </w:p>
    <w:p w14:paraId="0EF26AD6" w14:textId="77777777" w:rsidR="00867F83" w:rsidRPr="004F6DB7" w:rsidRDefault="00867F83" w:rsidP="00867F83">
      <w:pPr>
        <w:pStyle w:val="NoSpacing"/>
        <w:rPr>
          <w:b/>
          <w:bCs/>
          <w:color w:val="70AD47" w:themeColor="accent6"/>
          <w:sz w:val="24"/>
          <w:szCs w:val="24"/>
          <w:lang w:val="en-GB"/>
        </w:rPr>
      </w:pPr>
      <w:r w:rsidRPr="004F6DB7">
        <w:rPr>
          <w:b/>
          <w:bCs/>
          <w:color w:val="70AD47" w:themeColor="accent6"/>
          <w:sz w:val="24"/>
          <w:szCs w:val="24"/>
          <w:lang w:val="en-GB"/>
        </w:rPr>
        <w:t>Why a guide to the application form?</w:t>
      </w:r>
    </w:p>
    <w:p w14:paraId="04F95FE0" w14:textId="77777777" w:rsidR="00867F83" w:rsidRPr="004F6DB7" w:rsidRDefault="00867F83" w:rsidP="00867F83">
      <w:pPr>
        <w:pStyle w:val="NoSpacing"/>
        <w:rPr>
          <w:sz w:val="24"/>
          <w:szCs w:val="24"/>
          <w:lang w:val="en-GB"/>
        </w:rPr>
      </w:pPr>
      <w:r w:rsidRPr="004F6DB7">
        <w:rPr>
          <w:sz w:val="24"/>
          <w:szCs w:val="24"/>
          <w:lang w:val="en-GB"/>
        </w:rPr>
        <w:t>Before you start filling out the application form, we would like to give you more information on how to approach the application. We define a number of issues and explain some elements of the application to increase the chances of a successful application.</w:t>
      </w:r>
    </w:p>
    <w:p w14:paraId="6DDFB677"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3A67E5DF" w14:textId="77777777" w:rsidR="00867F83" w:rsidRPr="004F6DB7" w:rsidRDefault="00867F83" w:rsidP="00867F83">
      <w:pPr>
        <w:spacing w:after="0" w:line="240" w:lineRule="auto"/>
        <w:rPr>
          <w:rFonts w:ascii="Calibri" w:eastAsia="Calibri" w:hAnsi="Calibri" w:cs="Calibri"/>
          <w:b/>
          <w:bCs/>
          <w:color w:val="56AF31"/>
          <w:sz w:val="24"/>
          <w:szCs w:val="24"/>
          <w:lang w:val="en-GB"/>
        </w:rPr>
      </w:pPr>
      <w:r w:rsidRPr="004F6DB7">
        <w:rPr>
          <w:rFonts w:ascii="Calibri" w:eastAsia="Calibri" w:hAnsi="Calibri" w:cs="Calibri"/>
          <w:b/>
          <w:bCs/>
          <w:color w:val="56AF31"/>
          <w:sz w:val="24"/>
          <w:szCs w:val="24"/>
          <w:lang w:val="en-GB"/>
        </w:rPr>
        <w:t>What is (educational) innovation? (pertaining to point 2)</w:t>
      </w:r>
    </w:p>
    <w:p w14:paraId="3EEA7268" w14:textId="5ED0A414"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 xml:space="preserve">First, a clear definition of what the assessment committee considers to be educational innovation. Innovation is a sustainable change that solves a problem or improves an existing situation by implementing new ideas. They can be large or small, but in all cases, innovations deviate from standing practice: it is something new in the context of the course(s) in question or it is something that everyone is already doing or should be doing in a new way deployed in education, for example the use of Brightspace or the use of a syllabus. They can involve both the use of ICT applications and the implementation of a new didactic concept. More innovative applications will be more likely </w:t>
      </w:r>
      <w:r w:rsidR="00DD6FC2" w:rsidRPr="004F6DB7">
        <w:rPr>
          <w:rFonts w:ascii="Calibri" w:eastAsia="Calibri" w:hAnsi="Calibri" w:cs="Calibri"/>
          <w:color w:val="000000" w:themeColor="text1"/>
          <w:sz w:val="24"/>
          <w:szCs w:val="24"/>
          <w:lang w:val="en-GB"/>
        </w:rPr>
        <w:t>successful</w:t>
      </w:r>
      <w:r w:rsidRPr="004F6DB7">
        <w:rPr>
          <w:rFonts w:ascii="Calibri" w:eastAsia="Calibri" w:hAnsi="Calibri" w:cs="Calibri"/>
          <w:color w:val="000000" w:themeColor="text1"/>
          <w:sz w:val="24"/>
          <w:szCs w:val="24"/>
          <w:lang w:val="en-GB"/>
        </w:rPr>
        <w:t xml:space="preserve"> than those that focus on things already in wider use, such as knowledge clips or the concept of flipped classroom more broadly. Examples of successful proposals include interactive videos, use of formative testing, use of podcasts as instructional materials and video assignments for students.</w:t>
      </w:r>
    </w:p>
    <w:p w14:paraId="4333C3D1"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33EC0012"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b/>
          <w:bCs/>
          <w:color w:val="000000" w:themeColor="text1"/>
          <w:sz w:val="24"/>
          <w:szCs w:val="24"/>
          <w:lang w:val="en-GB"/>
        </w:rPr>
        <w:t>Note</w:t>
      </w:r>
      <w:r w:rsidRPr="004F6DB7">
        <w:rPr>
          <w:rFonts w:ascii="Calibri" w:eastAsia="Calibri" w:hAnsi="Calibri" w:cs="Calibri"/>
          <w:color w:val="000000" w:themeColor="text1"/>
          <w:sz w:val="24"/>
          <w:szCs w:val="24"/>
          <w:lang w:val="en-GB"/>
        </w:rPr>
        <w:t>: Educational innovation is not the same as keeping existing courses up to date. It should differ explicitly from regular course updates. As an example, developing and/or experimenting with a new (blended) working format is innovative, replacing an article within an existing course for more recent examples is not.</w:t>
      </w:r>
    </w:p>
    <w:p w14:paraId="7FCB6F87"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3A8288B4" w14:textId="77777777" w:rsidR="00867F83" w:rsidRPr="004F6DB7" w:rsidRDefault="00867F83" w:rsidP="00867F83">
      <w:pPr>
        <w:spacing w:after="0" w:line="240" w:lineRule="auto"/>
        <w:rPr>
          <w:rFonts w:ascii="Calibri" w:eastAsia="Calibri" w:hAnsi="Calibri" w:cs="Calibri"/>
          <w:b/>
          <w:bCs/>
          <w:color w:val="56AF31"/>
          <w:sz w:val="24"/>
          <w:szCs w:val="24"/>
          <w:lang w:val="en-GB"/>
        </w:rPr>
      </w:pPr>
      <w:r w:rsidRPr="004F6DB7">
        <w:rPr>
          <w:rFonts w:ascii="Calibri" w:eastAsia="Calibri" w:hAnsi="Calibri" w:cs="Calibri"/>
          <w:b/>
          <w:bCs/>
          <w:color w:val="56AF31"/>
          <w:sz w:val="24"/>
          <w:szCs w:val="24"/>
          <w:lang w:val="en-GB"/>
        </w:rPr>
        <w:t>Evidence-informed innovation (pertaining to point 3)</w:t>
      </w:r>
    </w:p>
    <w:p w14:paraId="3CC32234"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Within the FSW, we want to innovate in an evidence-informed way to enable knowledge sharing and possibly upscaling of the innovations.</w:t>
      </w:r>
      <w:r w:rsidRPr="004F6DB7">
        <w:rPr>
          <w:kern w:val="2"/>
          <w:sz w:val="24"/>
          <w:szCs w:val="24"/>
          <w:lang w:val="en-GB"/>
          <w14:ligatures w14:val="standardContextual"/>
        </w:rPr>
        <w:t xml:space="preserve"> </w:t>
      </w:r>
      <w:r w:rsidRPr="004F6DB7">
        <w:rPr>
          <w:rFonts w:ascii="Calibri" w:eastAsia="Calibri" w:hAnsi="Calibri" w:cs="Calibri"/>
          <w:color w:val="000000" w:themeColor="text1"/>
          <w:sz w:val="24"/>
          <w:szCs w:val="24"/>
          <w:lang w:val="en-GB"/>
        </w:rPr>
        <w:t>A publication of one of the zones for Versnellingsplan Onderwijsinnovatie met ICT</w:t>
      </w:r>
      <w:r w:rsidRPr="004F6DB7">
        <w:rPr>
          <w:rFonts w:ascii="Calibri" w:eastAsia="Calibri" w:hAnsi="Calibri" w:cs="Calibri"/>
          <w:color w:val="000000" w:themeColor="text1"/>
          <w:sz w:val="24"/>
          <w:szCs w:val="24"/>
          <w:vertAlign w:val="superscript"/>
          <w:lang w:val="en-GB"/>
        </w:rPr>
        <w:footnoteReference w:id="1"/>
      </w:r>
      <w:r w:rsidRPr="004F6DB7">
        <w:rPr>
          <w:rFonts w:ascii="Calibri" w:eastAsia="Calibri" w:hAnsi="Calibri" w:cs="Calibri"/>
          <w:color w:val="000000" w:themeColor="text1"/>
          <w:sz w:val="24"/>
          <w:szCs w:val="24"/>
          <w:lang w:val="en-GB"/>
        </w:rPr>
        <w:t xml:space="preserve"> uses the following definition: "Evidence-informed innovation is defined as innovation grounded by a combination of experiential knowledge, school, organisational and system data and research knowledge (2022, p.12)." </w:t>
      </w:r>
      <w:r w:rsidRPr="004F6DB7">
        <w:rPr>
          <w:rFonts w:ascii="Calibri" w:eastAsia="Calibri" w:hAnsi="Calibri" w:cs="Calibri"/>
          <w:b/>
          <w:bCs/>
          <w:color w:val="000000" w:themeColor="text1"/>
          <w:sz w:val="24"/>
          <w:szCs w:val="24"/>
          <w:lang w:val="en-GB"/>
        </w:rPr>
        <w:t>Experiential knowledge</w:t>
      </w:r>
      <w:r w:rsidRPr="004F6DB7">
        <w:rPr>
          <w:rFonts w:ascii="Calibri" w:eastAsia="Calibri" w:hAnsi="Calibri" w:cs="Calibri"/>
          <w:color w:val="000000" w:themeColor="text1"/>
          <w:sz w:val="24"/>
          <w:szCs w:val="24"/>
          <w:lang w:val="en-GB"/>
        </w:rPr>
        <w:t xml:space="preserve"> is defined as the assumptions, knowledge and competences a teacher possesses based on their own practical experience. </w:t>
      </w:r>
      <w:r w:rsidRPr="004F6DB7">
        <w:rPr>
          <w:rFonts w:ascii="Calibri" w:eastAsia="Calibri" w:hAnsi="Calibri" w:cs="Calibri"/>
          <w:b/>
          <w:bCs/>
          <w:color w:val="000000" w:themeColor="text1"/>
          <w:sz w:val="24"/>
          <w:szCs w:val="24"/>
          <w:lang w:val="en-GB"/>
        </w:rPr>
        <w:t>School, organisational and system data</w:t>
      </w:r>
      <w:r w:rsidRPr="004F6DB7">
        <w:rPr>
          <w:rFonts w:ascii="Calibri" w:eastAsia="Calibri" w:hAnsi="Calibri" w:cs="Calibri"/>
          <w:color w:val="000000" w:themeColor="text1"/>
          <w:sz w:val="24"/>
          <w:szCs w:val="24"/>
          <w:lang w:val="en-GB"/>
        </w:rPr>
        <w:t xml:space="preserve"> can include anything from examination results, to teaching evaluations or lesson observations, as long as the data is collected systematically. </w:t>
      </w:r>
      <w:r w:rsidRPr="004F6DB7">
        <w:rPr>
          <w:rFonts w:ascii="Calibri" w:eastAsia="Calibri" w:hAnsi="Calibri" w:cs="Calibri"/>
          <w:b/>
          <w:bCs/>
          <w:color w:val="000000" w:themeColor="text1"/>
          <w:sz w:val="24"/>
          <w:szCs w:val="24"/>
          <w:lang w:val="en-GB"/>
        </w:rPr>
        <w:t>Research knowledge</w:t>
      </w:r>
      <w:r w:rsidRPr="004F6DB7">
        <w:rPr>
          <w:rFonts w:ascii="Calibri" w:eastAsia="Calibri" w:hAnsi="Calibri" w:cs="Calibri"/>
          <w:color w:val="000000" w:themeColor="text1"/>
          <w:sz w:val="24"/>
          <w:szCs w:val="24"/>
          <w:lang w:val="en-GB"/>
        </w:rPr>
        <w:t xml:space="preserve"> is any knowledge resulting from formal research. It can be collected, for example, through a literature review. Not all types of evidence are necessary for developing an evidence-informed innovation project, but the more different types of evidence provided, the stronger the foundation.</w:t>
      </w:r>
    </w:p>
    <w:p w14:paraId="2504034D"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25FF75B8" w14:textId="720551A0"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 xml:space="preserve">For the underpinning of </w:t>
      </w:r>
      <w:r w:rsidRPr="004F6DB7">
        <w:rPr>
          <w:rFonts w:ascii="Calibri" w:eastAsia="Calibri" w:hAnsi="Calibri" w:cs="Calibri"/>
          <w:b/>
          <w:bCs/>
          <w:color w:val="000000" w:themeColor="text1"/>
          <w:sz w:val="24"/>
          <w:szCs w:val="24"/>
          <w:lang w:val="en-GB"/>
        </w:rPr>
        <w:t xml:space="preserve">Grassroots </w:t>
      </w:r>
      <w:r w:rsidRPr="004F6DB7">
        <w:rPr>
          <w:rFonts w:ascii="Calibri" w:eastAsia="Calibri" w:hAnsi="Calibri" w:cs="Calibri"/>
          <w:color w:val="000000" w:themeColor="text1"/>
          <w:sz w:val="24"/>
          <w:szCs w:val="24"/>
          <w:lang w:val="en-GB"/>
        </w:rPr>
        <w:t xml:space="preserve">applications, the provision of experiential knowledge, preferably supplemented by school, organisational and system data is sufficient as evidence. </w:t>
      </w:r>
      <w:r w:rsidRPr="004F6DB7">
        <w:rPr>
          <w:rFonts w:ascii="Calibri" w:eastAsia="Calibri" w:hAnsi="Calibri" w:cs="Calibri"/>
          <w:color w:val="000000" w:themeColor="text1"/>
          <w:sz w:val="24"/>
          <w:szCs w:val="24"/>
          <w:lang w:val="en-GB"/>
        </w:rPr>
        <w:lastRenderedPageBreak/>
        <w:t xml:space="preserve">For </w:t>
      </w:r>
      <w:r w:rsidRPr="004F6DB7">
        <w:rPr>
          <w:rFonts w:ascii="Calibri" w:eastAsia="Calibri" w:hAnsi="Calibri" w:cs="Calibri"/>
          <w:b/>
          <w:bCs/>
          <w:color w:val="000000" w:themeColor="text1"/>
          <w:sz w:val="24"/>
          <w:szCs w:val="24"/>
          <w:lang w:val="en-GB"/>
        </w:rPr>
        <w:t>Grass Shoots</w:t>
      </w:r>
      <w:r w:rsidRPr="004F6DB7">
        <w:rPr>
          <w:rFonts w:ascii="Calibri" w:eastAsia="Calibri" w:hAnsi="Calibri" w:cs="Calibri"/>
          <w:color w:val="000000" w:themeColor="text1"/>
          <w:sz w:val="24"/>
          <w:szCs w:val="24"/>
          <w:lang w:val="en-GB"/>
        </w:rPr>
        <w:t xml:space="preserve"> grant applications, all three types of evidence are expected in the underpinning.</w:t>
      </w:r>
      <w:r w:rsidR="000B4928" w:rsidRPr="004F6DB7">
        <w:rPr>
          <w:lang w:val="en-GB"/>
        </w:rPr>
        <w:t xml:space="preserve"> </w:t>
      </w:r>
    </w:p>
    <w:p w14:paraId="5453D807"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2F93699F" w14:textId="77777777" w:rsidR="00867F83" w:rsidRPr="004F6DB7" w:rsidRDefault="00867F83" w:rsidP="00867F83">
      <w:pPr>
        <w:spacing w:after="0" w:line="240" w:lineRule="auto"/>
        <w:rPr>
          <w:rFonts w:ascii="Calibri" w:eastAsia="Calibri" w:hAnsi="Calibri" w:cs="Calibri"/>
          <w:b/>
          <w:bCs/>
          <w:color w:val="56AF31"/>
          <w:sz w:val="24"/>
          <w:szCs w:val="24"/>
          <w:lang w:val="en-GB"/>
        </w:rPr>
      </w:pPr>
      <w:r w:rsidRPr="004F6DB7">
        <w:rPr>
          <w:rFonts w:ascii="Calibri" w:eastAsia="Calibri" w:hAnsi="Calibri" w:cs="Calibri"/>
          <w:b/>
          <w:bCs/>
          <w:color w:val="56AF31"/>
          <w:sz w:val="24"/>
          <w:szCs w:val="24"/>
          <w:lang w:val="en-GB"/>
        </w:rPr>
        <w:t>Theory of Change as a basis (pertaining to point 3 and point 10)</w:t>
      </w:r>
    </w:p>
    <w:p w14:paraId="4547D3E0"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We recommend approaching the underpinning of the innovation and its evaluation based on a Theory of Change. A theory of change makes explicit how and why the planned interventions will lead to the desired change and on what basis you can measure the change (change in behaviour, outcome, etc.) (Reinholz &amp; Andrews, 2020). This theory of change can help at the front end of a project with planning and implementation and at the back end with evaluating the result, the latter by also focusing on the activities and intermediate results (and not – only – on the end result).</w:t>
      </w:r>
    </w:p>
    <w:p w14:paraId="6F980D6B"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3747A1EE"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 xml:space="preserve">While standard student evaluations can be a part of evaluation, they can never be the only source of evaluation data. See this </w:t>
      </w:r>
      <w:hyperlink r:id="rId10" w:history="1">
        <w:r w:rsidRPr="004F6DB7">
          <w:rPr>
            <w:rStyle w:val="Hyperlink"/>
            <w:rFonts w:ascii="Calibri" w:eastAsia="Calibri" w:hAnsi="Calibri" w:cs="Calibri"/>
            <w:sz w:val="24"/>
            <w:szCs w:val="24"/>
            <w:lang w:val="en-GB"/>
          </w:rPr>
          <w:t>Radboud University publication</w:t>
        </w:r>
      </w:hyperlink>
      <w:r w:rsidRPr="004F6DB7">
        <w:rPr>
          <w:rFonts w:ascii="Calibri" w:eastAsia="Calibri" w:hAnsi="Calibri" w:cs="Calibri"/>
          <w:color w:val="000000" w:themeColor="text1"/>
          <w:sz w:val="24"/>
          <w:szCs w:val="24"/>
          <w:lang w:val="en-GB"/>
        </w:rPr>
        <w:t xml:space="preserve"> for examples of other forms of evaluation with students. Additionally, consider using study results and other more quantitative data.</w:t>
      </w:r>
    </w:p>
    <w:p w14:paraId="521BFC0E"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16A181B3"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 xml:space="preserve">In a theoretical evaluation, it is recommended to include </w:t>
      </w:r>
      <w:r w:rsidRPr="004F6DB7">
        <w:rPr>
          <w:rFonts w:ascii="Calibri" w:eastAsia="Calibri" w:hAnsi="Calibri" w:cs="Calibri"/>
          <w:b/>
          <w:bCs/>
          <w:color w:val="000000" w:themeColor="text1"/>
          <w:sz w:val="24"/>
          <w:szCs w:val="24"/>
          <w:lang w:val="en-GB"/>
        </w:rPr>
        <w:t>monitoring data</w:t>
      </w:r>
      <w:r w:rsidRPr="004F6DB7">
        <w:rPr>
          <w:rFonts w:ascii="Calibri" w:eastAsia="Calibri" w:hAnsi="Calibri" w:cs="Calibri"/>
          <w:color w:val="000000" w:themeColor="text1"/>
          <w:sz w:val="24"/>
          <w:szCs w:val="24"/>
          <w:lang w:val="en-GB"/>
        </w:rPr>
        <w:t>: evaluating the activities and outputs that should lead to the desired outcome (see also Gugerty &amp; Karlan, 2018). These data can contain meaningful information about the implementation of an intervention, e.g. if weekly viewing of knowledge clips should lead to better retention of the material, then it is useful to evaluate whether students actually watch the knowledge clips on a weekly basis (</w:t>
      </w:r>
      <w:r w:rsidRPr="004F6DB7">
        <w:rPr>
          <w:rFonts w:ascii="Calibri" w:eastAsia="Calibri" w:hAnsi="Calibri" w:cs="Calibri"/>
          <w:b/>
          <w:bCs/>
          <w:color w:val="000000" w:themeColor="text1"/>
          <w:sz w:val="24"/>
          <w:szCs w:val="24"/>
          <w:lang w:val="en-GB"/>
        </w:rPr>
        <w:t>learning analytics</w:t>
      </w:r>
      <w:r w:rsidRPr="004F6DB7">
        <w:rPr>
          <w:rFonts w:ascii="Calibri" w:eastAsia="Calibri" w:hAnsi="Calibri" w:cs="Calibri"/>
          <w:color w:val="000000" w:themeColor="text1"/>
          <w:sz w:val="24"/>
          <w:szCs w:val="24"/>
          <w:lang w:val="en-GB"/>
        </w:rPr>
        <w:t>).</w:t>
      </w:r>
    </w:p>
    <w:p w14:paraId="4CF976FC"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19567BEA"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It is not always possible to measure the effectiveness or impact of a project, especially if a design is not experimental. However, it is always possible to evaluate one's own theory of change in (e.g.) the form of teacher activities, student activities and final outcome.</w:t>
      </w:r>
    </w:p>
    <w:p w14:paraId="25DC75BC"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159D69D8"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b/>
          <w:bCs/>
          <w:color w:val="000000" w:themeColor="text1"/>
          <w:sz w:val="24"/>
          <w:szCs w:val="24"/>
          <w:lang w:val="en-GB"/>
        </w:rPr>
        <w:t>NB:</w:t>
      </w:r>
      <w:r w:rsidRPr="004F6DB7">
        <w:rPr>
          <w:rFonts w:ascii="Calibri" w:eastAsia="Calibri" w:hAnsi="Calibri" w:cs="Calibri"/>
          <w:color w:val="000000" w:themeColor="text1"/>
          <w:sz w:val="24"/>
          <w:szCs w:val="24"/>
          <w:lang w:val="en-GB"/>
        </w:rPr>
        <w:t xml:space="preserve"> this is explicitly not intended to create more work for applicants, but rather as a tool to identify the relevant data for evaluation of the project. There is obviously no need to provide more data than is useful in assessing the implementation of the project.</w:t>
      </w:r>
    </w:p>
    <w:p w14:paraId="52F22DF4"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2FD9C31B"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When preparing an evaluation plan, also consider the AVG: is student privacy adequately safeguarded? For advice, contact the privacy officer (</w:t>
      </w:r>
      <w:hyperlink r:id="rId11" w:history="1">
        <w:r w:rsidRPr="004F6DB7">
          <w:rPr>
            <w:rStyle w:val="Hyperlink"/>
            <w:rFonts w:ascii="Calibri" w:eastAsia="Calibri" w:hAnsi="Calibri" w:cs="Calibri"/>
            <w:sz w:val="24"/>
            <w:szCs w:val="24"/>
            <w:lang w:val="en-GB"/>
          </w:rPr>
          <w:t>privacy@fsw.leidenuniv.nl</w:t>
        </w:r>
      </w:hyperlink>
      <w:r w:rsidRPr="004F6DB7">
        <w:rPr>
          <w:rFonts w:ascii="Calibri" w:eastAsia="Calibri" w:hAnsi="Calibri" w:cs="Calibri"/>
          <w:color w:val="000000" w:themeColor="text1"/>
          <w:sz w:val="24"/>
          <w:szCs w:val="24"/>
          <w:lang w:val="en-GB"/>
        </w:rPr>
        <w:t xml:space="preserve">).  </w:t>
      </w:r>
    </w:p>
    <w:p w14:paraId="501EB800"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4585C5FF" w14:textId="77777777" w:rsidR="00867F83" w:rsidRPr="004F6DB7" w:rsidRDefault="00867F83" w:rsidP="00867F83">
      <w:pPr>
        <w:spacing w:after="0" w:line="240" w:lineRule="auto"/>
        <w:rPr>
          <w:rFonts w:ascii="Calibri" w:eastAsia="Calibri" w:hAnsi="Calibri" w:cs="Calibri"/>
          <w:b/>
          <w:bCs/>
          <w:color w:val="56AF31"/>
          <w:sz w:val="24"/>
          <w:szCs w:val="24"/>
          <w:lang w:val="en-GB"/>
        </w:rPr>
      </w:pPr>
      <w:r w:rsidRPr="004F6DB7">
        <w:rPr>
          <w:rFonts w:ascii="Calibri" w:eastAsia="Calibri" w:hAnsi="Calibri" w:cs="Calibri"/>
          <w:b/>
          <w:bCs/>
          <w:color w:val="56AF31"/>
          <w:sz w:val="24"/>
          <w:szCs w:val="24"/>
          <w:lang w:val="en-GB"/>
        </w:rPr>
        <w:t>Ethics, privacy, data management (pertaining to point 6 and point 10)</w:t>
      </w:r>
    </w:p>
    <w:p w14:paraId="380993FD"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 xml:space="preserve">The standard procedures for ethics, privacy and data management apply within Grassroots and Grass Shoots. </w:t>
      </w:r>
    </w:p>
    <w:p w14:paraId="627F2E45"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441EF358"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Please observe the following rules:</w:t>
      </w:r>
    </w:p>
    <w:p w14:paraId="726A4E7B" w14:textId="77777777" w:rsidR="00867F83" w:rsidRPr="004F6DB7" w:rsidRDefault="00867F83" w:rsidP="00867F83">
      <w:pPr>
        <w:pStyle w:val="ListParagraph"/>
        <w:numPr>
          <w:ilvl w:val="0"/>
          <w:numId w:val="1"/>
        </w:num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Does your research or results contain (new) personal data?</w:t>
      </w:r>
    </w:p>
    <w:p w14:paraId="7351CAE1" w14:textId="77777777" w:rsidR="00867F83" w:rsidRPr="004F6DB7" w:rsidRDefault="00867F83" w:rsidP="00867F83">
      <w:pPr>
        <w:pStyle w:val="ListParagraph"/>
        <w:numPr>
          <w:ilvl w:val="0"/>
          <w:numId w:val="1"/>
        </w:num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Will your project process more or more sensitive personal data than usual?</w:t>
      </w:r>
    </w:p>
    <w:p w14:paraId="23E0FFDE" w14:textId="77777777" w:rsidR="00867F83" w:rsidRPr="004F6DB7" w:rsidRDefault="00867F83" w:rsidP="00867F83">
      <w:pPr>
        <w:pStyle w:val="ListParagraph"/>
        <w:numPr>
          <w:ilvl w:val="0"/>
          <w:numId w:val="1"/>
        </w:num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Do you want to publish the results of your project including personal data outside the university (e.g. at a conference)?</w:t>
      </w:r>
    </w:p>
    <w:p w14:paraId="09C4B14E" w14:textId="77777777" w:rsidR="00867F83" w:rsidRPr="004F6DB7" w:rsidRDefault="00867F83" w:rsidP="00867F83">
      <w:pPr>
        <w:pStyle w:val="ListParagraph"/>
        <w:numPr>
          <w:ilvl w:val="0"/>
          <w:numId w:val="1"/>
        </w:num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Do you want to use new software to store or process personal data?</w:t>
      </w:r>
    </w:p>
    <w:p w14:paraId="59D2C604"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In the above cases, contact the privacy officer (</w:t>
      </w:r>
      <w:hyperlink r:id="rId12" w:history="1">
        <w:r w:rsidRPr="004F6DB7">
          <w:rPr>
            <w:rStyle w:val="Hyperlink"/>
            <w:rFonts w:ascii="Calibri" w:eastAsia="Calibri" w:hAnsi="Calibri" w:cs="Calibri"/>
            <w:sz w:val="24"/>
            <w:szCs w:val="24"/>
            <w:lang w:val="en-GB"/>
          </w:rPr>
          <w:t>privacy@fsw.leidenuniv.nl</w:t>
        </w:r>
      </w:hyperlink>
      <w:r w:rsidRPr="004F6DB7">
        <w:rPr>
          <w:rFonts w:ascii="Calibri" w:eastAsia="Calibri" w:hAnsi="Calibri" w:cs="Calibri"/>
          <w:color w:val="000000" w:themeColor="text1"/>
          <w:sz w:val="24"/>
          <w:szCs w:val="24"/>
          <w:lang w:val="en-GB"/>
        </w:rPr>
        <w:t xml:space="preserve">).  </w:t>
      </w:r>
    </w:p>
    <w:p w14:paraId="060368A4"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lastRenderedPageBreak/>
        <w:t xml:space="preserve"> </w:t>
      </w:r>
    </w:p>
    <w:p w14:paraId="4BD1FF3E"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 xml:space="preserve">Your innovation project may touch on ethical aspects beyond this. If you are unsure whether an ethics application should be submitted, contact your institute's ethics committee. Contact the relevant ethics committee, see </w:t>
      </w:r>
      <w:hyperlink r:id="rId13" w:history="1">
        <w:r w:rsidRPr="004F6DB7">
          <w:rPr>
            <w:rStyle w:val="Hyperlink"/>
            <w:rFonts w:ascii="Calibri" w:eastAsia="Calibri" w:hAnsi="Calibri" w:cs="Calibri"/>
            <w:sz w:val="24"/>
            <w:szCs w:val="24"/>
            <w:lang w:val="en-GB"/>
          </w:rPr>
          <w:t>this page</w:t>
        </w:r>
      </w:hyperlink>
      <w:r w:rsidRPr="004F6DB7">
        <w:rPr>
          <w:rFonts w:ascii="Calibri" w:eastAsia="Calibri" w:hAnsi="Calibri" w:cs="Calibri"/>
          <w:color w:val="000000" w:themeColor="text1"/>
          <w:sz w:val="24"/>
          <w:szCs w:val="24"/>
          <w:lang w:val="en-GB"/>
        </w:rPr>
        <w:t>.</w:t>
      </w:r>
    </w:p>
    <w:p w14:paraId="5239D90B"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 xml:space="preserve"> </w:t>
      </w:r>
    </w:p>
    <w:p w14:paraId="10486DF0"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r w:rsidRPr="004F6DB7">
        <w:rPr>
          <w:rFonts w:ascii="Calibri" w:eastAsia="Calibri" w:hAnsi="Calibri" w:cs="Calibri"/>
          <w:b/>
          <w:bCs/>
          <w:color w:val="000000" w:themeColor="text1"/>
          <w:sz w:val="24"/>
          <w:szCs w:val="24"/>
          <w:lang w:val="en-GB"/>
        </w:rPr>
        <w:t>Note:</w:t>
      </w:r>
      <w:r w:rsidRPr="004F6DB7">
        <w:rPr>
          <w:rFonts w:ascii="Calibri" w:eastAsia="Calibri" w:hAnsi="Calibri" w:cs="Calibri"/>
          <w:color w:val="000000" w:themeColor="text1"/>
          <w:sz w:val="24"/>
          <w:szCs w:val="24"/>
          <w:lang w:val="en-GB"/>
        </w:rPr>
        <w:t xml:space="preserve"> It may take some time to address issues related to ethics or privacy. If you expect to need discussions with the privacy officer or ethics committee, please schedule enough time.</w:t>
      </w:r>
    </w:p>
    <w:p w14:paraId="45AE5C17" w14:textId="77777777" w:rsidR="00867F83" w:rsidRPr="004F6DB7" w:rsidRDefault="00867F83" w:rsidP="00867F83">
      <w:pPr>
        <w:spacing w:after="0" w:line="240" w:lineRule="auto"/>
        <w:rPr>
          <w:rFonts w:ascii="Calibri" w:eastAsia="Calibri" w:hAnsi="Calibri" w:cs="Calibri"/>
          <w:color w:val="000000" w:themeColor="text1"/>
          <w:sz w:val="24"/>
          <w:szCs w:val="24"/>
          <w:lang w:val="en-GB"/>
        </w:rPr>
      </w:pPr>
    </w:p>
    <w:p w14:paraId="4D0FB845" w14:textId="77777777" w:rsidR="00867F83" w:rsidRPr="004F6DB7" w:rsidRDefault="00867F83" w:rsidP="00867F83">
      <w:pPr>
        <w:spacing w:after="0" w:line="240" w:lineRule="auto"/>
        <w:rPr>
          <w:rFonts w:ascii="Calibri" w:eastAsia="Calibri" w:hAnsi="Calibri" w:cs="Calibri"/>
          <w:b/>
          <w:bCs/>
          <w:color w:val="56AF31"/>
          <w:sz w:val="24"/>
          <w:szCs w:val="24"/>
          <w:lang w:val="en-GB"/>
        </w:rPr>
      </w:pPr>
      <w:r w:rsidRPr="004F6DB7">
        <w:rPr>
          <w:rFonts w:ascii="Calibri" w:eastAsia="Calibri" w:hAnsi="Calibri" w:cs="Calibri"/>
          <w:b/>
          <w:bCs/>
          <w:color w:val="56AF31"/>
          <w:sz w:val="24"/>
          <w:szCs w:val="24"/>
          <w:lang w:val="en-GB"/>
        </w:rPr>
        <w:t>References</w:t>
      </w:r>
    </w:p>
    <w:p w14:paraId="6F1D07B4" w14:textId="77777777" w:rsidR="00867F83" w:rsidRPr="004F6DB7" w:rsidRDefault="00867F83" w:rsidP="00867F83">
      <w:pPr>
        <w:spacing w:after="0" w:line="240" w:lineRule="auto"/>
        <w:ind w:left="720" w:hanging="720"/>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Crossan, M. M., Lane, H. W., &amp; White, R. E. (1999). An organizational learning framework: From intuition to institution. </w:t>
      </w:r>
      <w:r w:rsidRPr="004F6DB7">
        <w:rPr>
          <w:rFonts w:ascii="Calibri" w:eastAsia="Calibri" w:hAnsi="Calibri" w:cs="Calibri"/>
          <w:i/>
          <w:color w:val="000000" w:themeColor="text1"/>
          <w:sz w:val="24"/>
          <w:szCs w:val="24"/>
          <w:lang w:val="en-GB"/>
        </w:rPr>
        <w:t>Academy of management review</w:t>
      </w:r>
      <w:r w:rsidRPr="004F6DB7">
        <w:rPr>
          <w:rFonts w:ascii="Calibri" w:eastAsia="Calibri" w:hAnsi="Calibri" w:cs="Calibri"/>
          <w:color w:val="000000" w:themeColor="text1"/>
          <w:sz w:val="24"/>
          <w:szCs w:val="24"/>
          <w:lang w:val="en-GB"/>
        </w:rPr>
        <w:t>, </w:t>
      </w:r>
      <w:r w:rsidRPr="004F6DB7">
        <w:rPr>
          <w:rFonts w:ascii="Calibri" w:eastAsia="Calibri" w:hAnsi="Calibri" w:cs="Calibri"/>
          <w:i/>
          <w:color w:val="000000" w:themeColor="text1"/>
          <w:sz w:val="24"/>
          <w:szCs w:val="24"/>
          <w:lang w:val="en-GB"/>
        </w:rPr>
        <w:t>24</w:t>
      </w:r>
      <w:r w:rsidRPr="004F6DB7">
        <w:rPr>
          <w:rFonts w:ascii="Calibri" w:eastAsia="Calibri" w:hAnsi="Calibri" w:cs="Calibri"/>
          <w:color w:val="000000" w:themeColor="text1"/>
          <w:sz w:val="24"/>
          <w:szCs w:val="24"/>
          <w:lang w:val="en-GB"/>
        </w:rPr>
        <w:t>(3), 522-537.</w:t>
      </w:r>
    </w:p>
    <w:p w14:paraId="47BD8006" w14:textId="77777777" w:rsidR="00867F83" w:rsidRPr="004F6DB7" w:rsidRDefault="00867F83" w:rsidP="00867F83">
      <w:pPr>
        <w:spacing w:after="0" w:line="240" w:lineRule="auto"/>
        <w:ind w:left="720" w:hanging="720"/>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Fishbein, M., &amp; Ajzen, I. (2011). </w:t>
      </w:r>
      <w:r w:rsidRPr="004F6DB7">
        <w:rPr>
          <w:rFonts w:ascii="Calibri" w:eastAsia="Calibri" w:hAnsi="Calibri" w:cs="Calibri"/>
          <w:i/>
          <w:color w:val="000000" w:themeColor="text1"/>
          <w:sz w:val="24"/>
          <w:szCs w:val="24"/>
          <w:lang w:val="en-GB"/>
        </w:rPr>
        <w:t>Predicting and changing behavior: The reasoned action approach</w:t>
      </w:r>
      <w:r w:rsidRPr="004F6DB7">
        <w:rPr>
          <w:rFonts w:ascii="Calibri" w:eastAsia="Calibri" w:hAnsi="Calibri" w:cs="Calibri"/>
          <w:color w:val="000000" w:themeColor="text1"/>
          <w:sz w:val="24"/>
          <w:szCs w:val="24"/>
          <w:lang w:val="en-GB"/>
        </w:rPr>
        <w:t>. Taylor &amp; Francis.</w:t>
      </w:r>
    </w:p>
    <w:p w14:paraId="4BE534C7" w14:textId="77777777" w:rsidR="00867F83" w:rsidRPr="004F6DB7" w:rsidRDefault="00867F83" w:rsidP="00867F83">
      <w:pPr>
        <w:spacing w:after="0" w:line="240" w:lineRule="auto"/>
        <w:ind w:left="720" w:hanging="720"/>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Gugerty, M. K., &amp; Karlan, D. (2018). Ten reasons not to measure impact–and what to do instead. </w:t>
      </w:r>
      <w:r w:rsidRPr="004F6DB7">
        <w:rPr>
          <w:rFonts w:ascii="Calibri" w:eastAsia="Calibri" w:hAnsi="Calibri" w:cs="Calibri"/>
          <w:i/>
          <w:iCs/>
          <w:color w:val="000000" w:themeColor="text1"/>
          <w:sz w:val="24"/>
          <w:szCs w:val="24"/>
          <w:lang w:val="en-GB"/>
        </w:rPr>
        <w:t>Stanford Social Innovation Review</w:t>
      </w:r>
      <w:r w:rsidRPr="004F6DB7">
        <w:rPr>
          <w:rFonts w:ascii="Calibri" w:eastAsia="Calibri" w:hAnsi="Calibri" w:cs="Calibri"/>
          <w:color w:val="000000" w:themeColor="text1"/>
          <w:sz w:val="24"/>
          <w:szCs w:val="24"/>
          <w:lang w:val="en-GB"/>
        </w:rPr>
        <w:t>, </w:t>
      </w:r>
      <w:r w:rsidRPr="004F6DB7">
        <w:rPr>
          <w:rFonts w:ascii="Calibri" w:eastAsia="Calibri" w:hAnsi="Calibri" w:cs="Calibri"/>
          <w:i/>
          <w:iCs/>
          <w:color w:val="000000" w:themeColor="text1"/>
          <w:sz w:val="24"/>
          <w:szCs w:val="24"/>
          <w:lang w:val="en-GB"/>
        </w:rPr>
        <w:t>16</w:t>
      </w:r>
      <w:r w:rsidRPr="004F6DB7">
        <w:rPr>
          <w:rFonts w:ascii="Calibri" w:eastAsia="Calibri" w:hAnsi="Calibri" w:cs="Calibri"/>
          <w:color w:val="000000" w:themeColor="text1"/>
          <w:sz w:val="24"/>
          <w:szCs w:val="24"/>
          <w:lang w:val="en-GB"/>
        </w:rPr>
        <w:t>(3), 41-47.</w:t>
      </w:r>
    </w:p>
    <w:p w14:paraId="3326A4E3" w14:textId="77777777" w:rsidR="00867F83" w:rsidRPr="004F6DB7" w:rsidRDefault="00867F83" w:rsidP="00867F83">
      <w:pPr>
        <w:spacing w:after="0" w:line="240" w:lineRule="auto"/>
        <w:ind w:left="720" w:hanging="720"/>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 xml:space="preserve">Reinholz, D.L., &amp; Andrews, T.C. (2020). Change theory and theory of change: what’s the difference anyway? </w:t>
      </w:r>
      <w:r w:rsidRPr="004F6DB7">
        <w:rPr>
          <w:rFonts w:ascii="Calibri" w:eastAsia="Calibri" w:hAnsi="Calibri" w:cs="Calibri"/>
          <w:i/>
          <w:iCs/>
          <w:color w:val="000000" w:themeColor="text1"/>
          <w:sz w:val="24"/>
          <w:szCs w:val="24"/>
          <w:lang w:val="en-GB"/>
        </w:rPr>
        <w:t>International Journal of STEM Education, 7</w:t>
      </w:r>
      <w:r w:rsidRPr="004F6DB7">
        <w:rPr>
          <w:rFonts w:ascii="Calibri" w:eastAsia="Calibri" w:hAnsi="Calibri" w:cs="Calibri"/>
          <w:color w:val="000000" w:themeColor="text1"/>
          <w:sz w:val="24"/>
          <w:szCs w:val="24"/>
          <w:lang w:val="en-GB"/>
        </w:rPr>
        <w:t xml:space="preserve">(2). </w:t>
      </w:r>
      <w:hyperlink r:id="rId14" w:history="1">
        <w:r w:rsidRPr="004F6DB7">
          <w:rPr>
            <w:rStyle w:val="Hyperlink"/>
            <w:rFonts w:ascii="Calibri" w:eastAsia="Calibri" w:hAnsi="Calibri" w:cs="Calibri"/>
            <w:sz w:val="24"/>
            <w:szCs w:val="24"/>
            <w:lang w:val="en-GB"/>
          </w:rPr>
          <w:t>https://doi.org/10.1186/s40594-020-0202-3</w:t>
        </w:r>
      </w:hyperlink>
      <w:r w:rsidRPr="004F6DB7">
        <w:rPr>
          <w:rFonts w:ascii="Calibri" w:eastAsia="Calibri" w:hAnsi="Calibri" w:cs="Calibri"/>
          <w:color w:val="000000" w:themeColor="text1"/>
          <w:sz w:val="24"/>
          <w:szCs w:val="24"/>
          <w:lang w:val="en-GB"/>
        </w:rPr>
        <w:t xml:space="preserve"> </w:t>
      </w:r>
    </w:p>
    <w:p w14:paraId="6C907633" w14:textId="77777777" w:rsidR="00867F83" w:rsidRPr="004F6DB7" w:rsidRDefault="00867F83" w:rsidP="00867F83">
      <w:pPr>
        <w:spacing w:after="0" w:line="240" w:lineRule="auto"/>
        <w:ind w:left="720" w:hanging="720"/>
        <w:rPr>
          <w:rFonts w:ascii="Calibri" w:eastAsia="Calibri" w:hAnsi="Calibri" w:cs="Calibri"/>
          <w:color w:val="000000" w:themeColor="text1"/>
          <w:sz w:val="24"/>
          <w:szCs w:val="24"/>
          <w:lang w:val="en-GB"/>
        </w:rPr>
      </w:pPr>
      <w:r w:rsidRPr="004F6DB7">
        <w:rPr>
          <w:rFonts w:ascii="Calibri" w:eastAsia="Calibri" w:hAnsi="Calibri" w:cs="Calibri"/>
          <w:color w:val="000000" w:themeColor="text1"/>
          <w:sz w:val="24"/>
          <w:szCs w:val="24"/>
          <w:lang w:val="en-GB"/>
        </w:rPr>
        <w:t xml:space="preserve">Zone Evidence-informed onderwijsinnovatie met ICT &amp; werkgroep Digitale praktijkvaardigheden (2022). </w:t>
      </w:r>
      <w:r w:rsidRPr="004F6DB7">
        <w:rPr>
          <w:rFonts w:ascii="Calibri" w:eastAsia="Calibri" w:hAnsi="Calibri" w:cs="Calibri"/>
          <w:i/>
          <w:color w:val="000000" w:themeColor="text1"/>
          <w:sz w:val="24"/>
          <w:szCs w:val="24"/>
          <w:lang w:val="en-GB"/>
        </w:rPr>
        <w:t>Werkpakket proeftuinen Evidence-informed innoveren van</w:t>
      </w:r>
      <w:r w:rsidRPr="004F6DB7">
        <w:rPr>
          <w:rFonts w:ascii="Calibri" w:eastAsia="Calibri" w:hAnsi="Calibri" w:cs="Calibri"/>
          <w:i/>
          <w:iCs/>
          <w:color w:val="000000" w:themeColor="text1"/>
          <w:sz w:val="24"/>
          <w:szCs w:val="24"/>
          <w:lang w:val="en-GB"/>
        </w:rPr>
        <w:t xml:space="preserve"> </w:t>
      </w:r>
      <w:r w:rsidRPr="004F6DB7">
        <w:rPr>
          <w:rFonts w:ascii="Calibri" w:eastAsia="Calibri" w:hAnsi="Calibri" w:cs="Calibri"/>
          <w:i/>
          <w:color w:val="000000" w:themeColor="text1"/>
          <w:sz w:val="24"/>
          <w:szCs w:val="24"/>
          <w:lang w:val="en-GB"/>
        </w:rPr>
        <w:t>onderwijs &amp; Effectiviteit van onderwijsinnovaties.</w:t>
      </w:r>
      <w:r w:rsidRPr="004F6DB7">
        <w:rPr>
          <w:rFonts w:ascii="Calibri" w:eastAsia="Calibri" w:hAnsi="Calibri" w:cs="Calibri"/>
          <w:color w:val="000000" w:themeColor="text1"/>
          <w:sz w:val="24"/>
          <w:szCs w:val="24"/>
          <w:lang w:val="en-GB"/>
        </w:rPr>
        <w:t xml:space="preserve"> Dl. 2. Versnellingsplan Onderwijsinnovatie met ICT. </w:t>
      </w:r>
      <w:hyperlink r:id="rId15" w:history="1">
        <w:r w:rsidRPr="004F6DB7">
          <w:rPr>
            <w:rStyle w:val="Hyperlink"/>
            <w:rFonts w:ascii="Calibri" w:eastAsia="Calibri" w:hAnsi="Calibri" w:cs="Calibri"/>
            <w:sz w:val="24"/>
            <w:szCs w:val="24"/>
            <w:lang w:val="en-GB"/>
          </w:rPr>
          <w:t>https://www.versnellingsplan.nl/Kennisbank/proeftuinen-evidence-informed-effectiviteit-onderwijsinnovaties/</w:t>
        </w:r>
      </w:hyperlink>
      <w:r w:rsidRPr="004F6DB7">
        <w:rPr>
          <w:rFonts w:ascii="Calibri" w:eastAsia="Calibri" w:hAnsi="Calibri" w:cs="Calibri"/>
          <w:color w:val="000000" w:themeColor="text1"/>
          <w:sz w:val="24"/>
          <w:szCs w:val="24"/>
          <w:lang w:val="en-GB"/>
        </w:rPr>
        <w:t xml:space="preserve"> </w:t>
      </w:r>
    </w:p>
    <w:p w14:paraId="735F59A9" w14:textId="77777777" w:rsidR="00867F83" w:rsidRPr="004F6DB7" w:rsidRDefault="00867F83" w:rsidP="00867F83">
      <w:pPr>
        <w:spacing w:after="0" w:line="240" w:lineRule="auto"/>
        <w:jc w:val="both"/>
        <w:rPr>
          <w:rFonts w:ascii="Calibri" w:eastAsia="Calibri" w:hAnsi="Calibri" w:cs="Calibri"/>
          <w:color w:val="000000" w:themeColor="text1"/>
          <w:sz w:val="24"/>
          <w:szCs w:val="24"/>
          <w:lang w:val="en-GB"/>
        </w:rPr>
      </w:pPr>
    </w:p>
    <w:p w14:paraId="2BFF9E1C" w14:textId="77777777" w:rsidR="00867F83" w:rsidRPr="004F6DB7" w:rsidRDefault="00867F83" w:rsidP="00867F83">
      <w:pPr>
        <w:spacing w:after="0" w:line="240" w:lineRule="auto"/>
        <w:jc w:val="both"/>
        <w:rPr>
          <w:rFonts w:ascii="Calibri" w:eastAsia="Calibri" w:hAnsi="Calibri" w:cs="Calibri"/>
          <w:b/>
          <w:bCs/>
          <w:i/>
          <w:iCs/>
          <w:color w:val="57AF31"/>
          <w:sz w:val="24"/>
          <w:szCs w:val="24"/>
          <w:lang w:val="en-GB"/>
        </w:rPr>
      </w:pPr>
    </w:p>
    <w:p w14:paraId="08615970" w14:textId="77777777" w:rsidR="00867F83" w:rsidRPr="004F6DB7" w:rsidRDefault="00867F83" w:rsidP="00867F83">
      <w:pPr>
        <w:rPr>
          <w:lang w:val="en-GB"/>
        </w:rPr>
      </w:pPr>
    </w:p>
    <w:p w14:paraId="38941036" w14:textId="77777777" w:rsidR="00AE505C" w:rsidRPr="004F6DB7" w:rsidRDefault="00AE505C">
      <w:pPr>
        <w:rPr>
          <w:lang w:val="en-GB"/>
        </w:rPr>
      </w:pPr>
    </w:p>
    <w:sectPr w:rsidR="00AE505C" w:rsidRPr="004F6DB7">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054A75" w14:textId="77777777" w:rsidR="004E1ED7" w:rsidRDefault="004E1ED7" w:rsidP="00867F83">
      <w:pPr>
        <w:spacing w:after="0" w:line="240" w:lineRule="auto"/>
      </w:pPr>
      <w:r>
        <w:separator/>
      </w:r>
    </w:p>
  </w:endnote>
  <w:endnote w:type="continuationSeparator" w:id="0">
    <w:p w14:paraId="338180C4" w14:textId="77777777" w:rsidR="004E1ED7" w:rsidRDefault="004E1ED7" w:rsidP="00867F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889C18" w14:textId="77777777" w:rsidR="003B69CE" w:rsidRDefault="003B69CE">
    <w:pPr>
      <w:pStyle w:val="Footer"/>
    </w:pPr>
    <w:r>
      <w:rPr>
        <w:noProof/>
        <w:lang w:eastAsia="nl-NL"/>
      </w:rPr>
      <w:drawing>
        <wp:anchor distT="0" distB="0" distL="114300" distR="114300" simplePos="0" relativeHeight="251659264" behindDoc="0" locked="0" layoutInCell="1" allowOverlap="1" wp14:anchorId="388DA71E" wp14:editId="2D50FC79">
          <wp:simplePos x="0" y="0"/>
          <wp:positionH relativeFrom="margin">
            <wp:posOffset>0</wp:posOffset>
          </wp:positionH>
          <wp:positionV relativeFrom="margin">
            <wp:posOffset>8597900</wp:posOffset>
          </wp:positionV>
          <wp:extent cx="1714500" cy="979170"/>
          <wp:effectExtent l="0" t="0" r="0" b="0"/>
          <wp:wrapSquare wrapText="bothSides"/>
          <wp:docPr id="1" name="Picture 1"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company name&#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14500" cy="979170"/>
                  </a:xfrm>
                  <a:prstGeom prst="rect">
                    <a:avLst/>
                  </a:prstGeom>
                </pic:spPr>
              </pic:pic>
            </a:graphicData>
          </a:graphic>
          <wp14:sizeRelH relativeFrom="margin">
            <wp14:pctWidth>0</wp14:pctWidth>
          </wp14:sizeRelH>
          <wp14:sizeRelV relativeFrom="margin">
            <wp14:pctHeight>0</wp14:pctHeight>
          </wp14:sizeRelV>
        </wp:anchor>
      </w:drawing>
    </w:r>
    <w:r>
      <w:rPr>
        <w:noProof/>
        <w:lang w:eastAsia="nl-NL"/>
      </w:rPr>
      <w:drawing>
        <wp:anchor distT="0" distB="0" distL="114300" distR="114300" simplePos="0" relativeHeight="251660288" behindDoc="0" locked="0" layoutInCell="1" allowOverlap="1" wp14:anchorId="16F267E1" wp14:editId="6C87E5DF">
          <wp:simplePos x="0" y="0"/>
          <wp:positionH relativeFrom="margin">
            <wp:posOffset>4025900</wp:posOffset>
          </wp:positionH>
          <wp:positionV relativeFrom="margin">
            <wp:posOffset>8573770</wp:posOffset>
          </wp:positionV>
          <wp:extent cx="1704975" cy="974725"/>
          <wp:effectExtent l="0" t="0" r="0" b="3175"/>
          <wp:wrapSquare wrapText="bothSides"/>
          <wp:docPr id="2" name="Picture 2"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icon&#10;&#10;Description automatically generated"/>
                  <pic:cNvPicPr/>
                </pic:nvPicPr>
                <pic:blipFill>
                  <a:blip r:embed="rId2" cstate="print">
                    <a:extLst>
                      <a:ext uri="{28A0092B-C50C-407E-A947-70E740481C1C}">
                        <a14:useLocalDpi xmlns:a14="http://schemas.microsoft.com/office/drawing/2010/main" val="0"/>
                      </a:ext>
                    </a:extLst>
                  </a:blip>
                  <a:stretch>
                    <a:fillRect/>
                  </a:stretch>
                </pic:blipFill>
                <pic:spPr>
                  <a:xfrm>
                    <a:off x="0" y="0"/>
                    <a:ext cx="1704975" cy="97472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80B655" w14:textId="77777777" w:rsidR="004E1ED7" w:rsidRDefault="004E1ED7" w:rsidP="00867F83">
      <w:pPr>
        <w:spacing w:after="0" w:line="240" w:lineRule="auto"/>
      </w:pPr>
      <w:r>
        <w:separator/>
      </w:r>
    </w:p>
  </w:footnote>
  <w:footnote w:type="continuationSeparator" w:id="0">
    <w:p w14:paraId="31C6184B" w14:textId="77777777" w:rsidR="004E1ED7" w:rsidRDefault="004E1ED7" w:rsidP="00867F83">
      <w:pPr>
        <w:spacing w:after="0" w:line="240" w:lineRule="auto"/>
      </w:pPr>
      <w:r>
        <w:continuationSeparator/>
      </w:r>
    </w:p>
  </w:footnote>
  <w:footnote w:id="1">
    <w:p w14:paraId="7D136548" w14:textId="44EB5E41" w:rsidR="00867F83" w:rsidRPr="00C178E3" w:rsidRDefault="00867F83" w:rsidP="00867F83">
      <w:pPr>
        <w:pStyle w:val="FootnoteText"/>
        <w:rPr>
          <w:lang w:val="nl-NL"/>
        </w:rPr>
      </w:pPr>
      <w:r>
        <w:rPr>
          <w:rStyle w:val="FootnoteReference"/>
        </w:rPr>
        <w:footnoteRef/>
      </w:r>
      <w:r>
        <w:t xml:space="preserve"> </w:t>
      </w:r>
      <w:r>
        <w:rPr>
          <w:lang w:val="nl-NL"/>
        </w:rPr>
        <w:t>Specif</w:t>
      </w:r>
      <w:r w:rsidR="000B4928">
        <w:rPr>
          <w:lang w:val="nl-NL"/>
        </w:rPr>
        <w:t>i</w:t>
      </w:r>
      <w:r>
        <w:rPr>
          <w:lang w:val="nl-NL"/>
        </w:rPr>
        <w:t xml:space="preserve">cally: </w:t>
      </w:r>
      <w:r>
        <w:t>Zone Evidence-informed onderwijsinnovatie met ICT &amp; werkgroep Digitale praktijkvaardigheden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3647E03"/>
    <w:multiLevelType w:val="hybridMultilevel"/>
    <w:tmpl w:val="2F38F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2AA2932"/>
    <w:multiLevelType w:val="hybridMultilevel"/>
    <w:tmpl w:val="340C12A6"/>
    <w:lvl w:ilvl="0" w:tplc="CB7E4FA4">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533F5B5E"/>
    <w:multiLevelType w:val="hybridMultilevel"/>
    <w:tmpl w:val="F438CAE4"/>
    <w:lvl w:ilvl="0" w:tplc="CB7E4FA4">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65011F45"/>
    <w:multiLevelType w:val="hybridMultilevel"/>
    <w:tmpl w:val="80AE1FE6"/>
    <w:lvl w:ilvl="0" w:tplc="CB7E4FA4">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385450528">
    <w:abstractNumId w:val="0"/>
  </w:num>
  <w:num w:numId="2" w16cid:durableId="2144887062">
    <w:abstractNumId w:val="3"/>
  </w:num>
  <w:num w:numId="3" w16cid:durableId="195891659">
    <w:abstractNumId w:val="1"/>
  </w:num>
  <w:num w:numId="4" w16cid:durableId="21114609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7F83"/>
    <w:rsid w:val="000B4928"/>
    <w:rsid w:val="000E1ED0"/>
    <w:rsid w:val="001713B3"/>
    <w:rsid w:val="003B69CE"/>
    <w:rsid w:val="004605EC"/>
    <w:rsid w:val="004E1ED7"/>
    <w:rsid w:val="004F6DB7"/>
    <w:rsid w:val="006F43AB"/>
    <w:rsid w:val="007E21E2"/>
    <w:rsid w:val="007E51B3"/>
    <w:rsid w:val="00867F83"/>
    <w:rsid w:val="008E4C3D"/>
    <w:rsid w:val="00951111"/>
    <w:rsid w:val="00A92259"/>
    <w:rsid w:val="00AE505C"/>
    <w:rsid w:val="00B7502D"/>
    <w:rsid w:val="00DD6FC2"/>
    <w:rsid w:val="00DF1457"/>
    <w:rsid w:val="00E02973"/>
    <w:rsid w:val="00E44207"/>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4:docId w14:val="418884D6"/>
  <w15:chartTrackingRefBased/>
  <w15:docId w15:val="{D86665B1-3867-544C-ABD9-C6F22FABF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7F83"/>
    <w:pPr>
      <w:spacing w:after="160" w:line="259" w:lineRule="auto"/>
    </w:pPr>
    <w:rPr>
      <w:kern w:val="0"/>
      <w:sz w:val="22"/>
      <w:szCs w:val="22"/>
      <w:lang w:val="nl-NL"/>
      <w14:ligatures w14:val="none"/>
    </w:rPr>
  </w:style>
  <w:style w:type="paragraph" w:styleId="Heading1">
    <w:name w:val="heading 1"/>
    <w:basedOn w:val="Normal"/>
    <w:next w:val="Normal"/>
    <w:link w:val="Heading1Char"/>
    <w:uiPriority w:val="9"/>
    <w:qFormat/>
    <w:rsid w:val="00867F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F83"/>
    <w:rPr>
      <w:rFonts w:asciiTheme="majorHAnsi" w:eastAsiaTheme="majorEastAsia" w:hAnsiTheme="majorHAnsi" w:cstheme="majorBidi"/>
      <w:color w:val="2F5496" w:themeColor="accent1" w:themeShade="BF"/>
      <w:kern w:val="0"/>
      <w:sz w:val="32"/>
      <w:szCs w:val="32"/>
      <w:lang w:val="nl-NL"/>
      <w14:ligatures w14:val="none"/>
    </w:rPr>
  </w:style>
  <w:style w:type="table" w:styleId="TableGrid">
    <w:name w:val="Table Grid"/>
    <w:basedOn w:val="TableNormal"/>
    <w:uiPriority w:val="59"/>
    <w:rsid w:val="00867F83"/>
    <w:rPr>
      <w:kern w:val="0"/>
      <w:sz w:val="22"/>
      <w:szCs w:val="22"/>
      <w:lang w:val="nl-N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67F83"/>
    <w:rPr>
      <w:color w:val="0563C1" w:themeColor="hyperlink"/>
      <w:u w:val="single"/>
    </w:rPr>
  </w:style>
  <w:style w:type="paragraph" w:styleId="Footer">
    <w:name w:val="footer"/>
    <w:basedOn w:val="Normal"/>
    <w:link w:val="FooterChar"/>
    <w:uiPriority w:val="99"/>
    <w:unhideWhenUsed/>
    <w:rsid w:val="00867F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7F83"/>
    <w:rPr>
      <w:kern w:val="0"/>
      <w:sz w:val="22"/>
      <w:szCs w:val="22"/>
      <w:lang w:val="nl-NL"/>
      <w14:ligatures w14:val="none"/>
    </w:rPr>
  </w:style>
  <w:style w:type="character" w:styleId="CommentReference">
    <w:name w:val="annotation reference"/>
    <w:basedOn w:val="DefaultParagraphFont"/>
    <w:uiPriority w:val="99"/>
    <w:semiHidden/>
    <w:unhideWhenUsed/>
    <w:rsid w:val="00867F83"/>
    <w:rPr>
      <w:sz w:val="16"/>
      <w:szCs w:val="16"/>
    </w:rPr>
  </w:style>
  <w:style w:type="paragraph" w:styleId="NoSpacing">
    <w:name w:val="No Spacing"/>
    <w:uiPriority w:val="1"/>
    <w:qFormat/>
    <w:rsid w:val="00867F83"/>
    <w:rPr>
      <w:kern w:val="0"/>
      <w:sz w:val="22"/>
      <w:szCs w:val="22"/>
      <w:lang w:val="nl-NL"/>
      <w14:ligatures w14:val="none"/>
    </w:rPr>
  </w:style>
  <w:style w:type="paragraph" w:styleId="ListParagraph">
    <w:name w:val="List Paragraph"/>
    <w:basedOn w:val="Normal"/>
    <w:uiPriority w:val="34"/>
    <w:qFormat/>
    <w:rsid w:val="00867F83"/>
    <w:pPr>
      <w:ind w:left="720"/>
      <w:contextualSpacing/>
    </w:pPr>
  </w:style>
  <w:style w:type="paragraph" w:styleId="FootnoteText">
    <w:name w:val="footnote text"/>
    <w:basedOn w:val="Normal"/>
    <w:link w:val="FootnoteTextChar"/>
    <w:uiPriority w:val="99"/>
    <w:unhideWhenUsed/>
    <w:rsid w:val="00867F83"/>
    <w:pPr>
      <w:spacing w:after="0" w:line="240" w:lineRule="auto"/>
    </w:pPr>
    <w:rPr>
      <w:kern w:val="2"/>
      <w:sz w:val="20"/>
      <w:szCs w:val="20"/>
      <w:lang w:val="en-NL"/>
      <w14:ligatures w14:val="standardContextual"/>
    </w:rPr>
  </w:style>
  <w:style w:type="character" w:customStyle="1" w:styleId="FootnoteTextChar">
    <w:name w:val="Footnote Text Char"/>
    <w:basedOn w:val="DefaultParagraphFont"/>
    <w:link w:val="FootnoteText"/>
    <w:uiPriority w:val="99"/>
    <w:rsid w:val="00867F83"/>
    <w:rPr>
      <w:sz w:val="20"/>
      <w:szCs w:val="20"/>
    </w:rPr>
  </w:style>
  <w:style w:type="character" w:styleId="FootnoteReference">
    <w:name w:val="footnote reference"/>
    <w:basedOn w:val="DefaultParagraphFont"/>
    <w:uiPriority w:val="99"/>
    <w:semiHidden/>
    <w:unhideWhenUsed/>
    <w:rsid w:val="00867F83"/>
    <w:rPr>
      <w:vertAlign w:val="superscript"/>
    </w:rPr>
  </w:style>
  <w:style w:type="character" w:customStyle="1" w:styleId="eop">
    <w:name w:val="eop"/>
    <w:basedOn w:val="DefaultParagraphFont"/>
    <w:rsid w:val="00867F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staff.universiteitleiden.nl/research/quality-and-integrity/ethics-committees/ethics-committees/social-and-behavioural-sciences/fsw-board-office?cf=social-and-behavioural-sciences&amp;cd=fsw-board-offic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rivacy@fsw.leidenuniv.n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rivacy@fsw.leidenuniv.nl" TargetMode="External"/><Relationship Id="rId5" Type="http://schemas.openxmlformats.org/officeDocument/2006/relationships/styles" Target="styles.xml"/><Relationship Id="rId15" Type="http://schemas.openxmlformats.org/officeDocument/2006/relationships/hyperlink" Target="https://www.versnellingsplan.nl/Kennisbank/proeftuinen-evidence-informed-effectiviteit-onderwijsinnovaties/" TargetMode="External"/><Relationship Id="rId10" Type="http://schemas.openxmlformats.org/officeDocument/2006/relationships/hyperlink" Target="https://www.ru.nl/sites/default/files/2022-11/Thirteen%20ways%20to%20evaluate%20your%20education.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oi.org/10.1186/s40594-020-0202-3"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F3F65C69C6C26449227B71ADE07FFAF" ma:contentTypeVersion="15" ma:contentTypeDescription="Create a new document." ma:contentTypeScope="" ma:versionID="c3b7c21f25131c47fcaed8c531bfc989">
  <xsd:schema xmlns:xsd="http://www.w3.org/2001/XMLSchema" xmlns:xs="http://www.w3.org/2001/XMLSchema" xmlns:p="http://schemas.microsoft.com/office/2006/metadata/properties" xmlns:ns2="cd760409-cf5a-4dde-af98-45a563cf2c4e" xmlns:ns3="eafb1e27-4675-408f-b82d-60073cecff63" targetNamespace="http://schemas.microsoft.com/office/2006/metadata/properties" ma:root="true" ma:fieldsID="e94acaa3b7a2c18a9c637bba47a8dbe5" ns2:_="" ns3:_="">
    <xsd:import namespace="cd760409-cf5a-4dde-af98-45a563cf2c4e"/>
    <xsd:import namespace="eafb1e27-4675-408f-b82d-60073cecff6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60409-cf5a-4dde-af98-45a563cf2c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afb1e27-4675-408f-b82d-60073cecff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63da7ee-f6ee-4c1e-821f-5fd0fba50282}" ma:internalName="TaxCatchAll" ma:showField="CatchAllData" ma:web="eafb1e27-4675-408f-b82d-60073cecff63">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d760409-cf5a-4dde-af98-45a563cf2c4e">
      <Terms xmlns="http://schemas.microsoft.com/office/infopath/2007/PartnerControls"/>
    </lcf76f155ced4ddcb4097134ff3c332f>
    <TaxCatchAll xmlns="eafb1e27-4675-408f-b82d-60073cecff63" xsi:nil="true"/>
  </documentManagement>
</p:properties>
</file>

<file path=customXml/itemProps1.xml><?xml version="1.0" encoding="utf-8"?>
<ds:datastoreItem xmlns:ds="http://schemas.openxmlformats.org/officeDocument/2006/customXml" ds:itemID="{77EDE165-21AD-4637-A017-0B58CB259E4D}">
  <ds:schemaRefs>
    <ds:schemaRef ds:uri="http://schemas.microsoft.com/sharepoint/v3/contenttype/forms"/>
  </ds:schemaRefs>
</ds:datastoreItem>
</file>

<file path=customXml/itemProps2.xml><?xml version="1.0" encoding="utf-8"?>
<ds:datastoreItem xmlns:ds="http://schemas.openxmlformats.org/officeDocument/2006/customXml" ds:itemID="{902E6C22-3E2A-413F-AA46-F43199CA9F67}"/>
</file>

<file path=customXml/itemProps3.xml><?xml version="1.0" encoding="utf-8"?>
<ds:datastoreItem xmlns:ds="http://schemas.openxmlformats.org/officeDocument/2006/customXml" ds:itemID="{0CB43B5F-E120-4908-AC17-27E741320D86}">
  <ds:schemaRefs>
    <ds:schemaRef ds:uri="http://schemas.microsoft.com/office/2006/metadata/properties"/>
    <ds:schemaRef ds:uri="http://schemas.microsoft.com/office/infopath/2007/PartnerControls"/>
    <ds:schemaRef ds:uri="cd760409-cf5a-4dde-af98-45a563cf2c4e"/>
    <ds:schemaRef ds:uri="eafb1e27-4675-408f-b82d-60073cecff63"/>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1435</Words>
  <Characters>8180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Salm, W.M.M. van der (Mieneke)</dc:creator>
  <cp:keywords/>
  <dc:description/>
  <cp:lastModifiedBy>Salm, W.M.M. van der (Mieneke)</cp:lastModifiedBy>
  <cp:revision>2</cp:revision>
  <dcterms:created xsi:type="dcterms:W3CDTF">2024-10-18T09:54:00Z</dcterms:created>
  <dcterms:modified xsi:type="dcterms:W3CDTF">2024-10-18T09:54:00Z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0x0101005F3F65C69C6C26449227B71ADE07FFAF</vt:lpwstr>
  </property>
  <property fmtid="{D5CDD505-2E9C-101B-9397-08002B2CF9AE}" pid="3" name="MediaServiceImageTags">
    <vt:lpwstr/>
  </property>
</Properties>
</file>